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Times New Roman"/>
          <w:b w:val="0"/>
          <w:bCs w:val="0"/>
          <w:color w:val="auto"/>
          <w:sz w:val="22"/>
          <w:szCs w:val="20"/>
          <w:lang w:val="de-DE" w:eastAsia="de-DE"/>
        </w:rPr>
        <w:id w:val="1674680983"/>
        <w:docPartObj>
          <w:docPartGallery w:val="Table of Contents"/>
          <w:docPartUnique/>
        </w:docPartObj>
      </w:sdtPr>
      <w:sdtEndPr/>
      <w:sdtContent>
        <w:p w:rsidR="00FB5A22" w:rsidRPr="00FB5A22" w:rsidRDefault="00FB5A22">
          <w:pPr>
            <w:pStyle w:val="Nadpisobsahu"/>
            <w:rPr>
              <w:rFonts w:ascii="Arial" w:hAnsi="Arial" w:cs="Arial"/>
              <w:color w:val="000000" w:themeColor="text1"/>
            </w:rPr>
          </w:pPr>
          <w:r w:rsidRPr="00FB5A22">
            <w:rPr>
              <w:rFonts w:ascii="Arial" w:hAnsi="Arial" w:cs="Arial"/>
              <w:color w:val="000000" w:themeColor="text1"/>
              <w:lang w:val="de-DE"/>
            </w:rPr>
            <w:t>Content</w:t>
          </w:r>
        </w:p>
        <w:p w:rsidR="00F819AF" w:rsidRDefault="00FB5A22">
          <w:pPr>
            <w:pStyle w:val="Obsah1"/>
            <w:rPr>
              <w:rFonts w:asciiTheme="minorHAnsi" w:eastAsiaTheme="minorEastAsia" w:hAnsiTheme="minorHAnsi" w:cstheme="minorBidi"/>
              <w:noProof/>
              <w:szCs w:val="22"/>
              <w:lang w:val="cs-CZ" w:eastAsia="cs-CZ"/>
            </w:rPr>
          </w:pPr>
          <w:r>
            <w:fldChar w:fldCharType="begin"/>
          </w:r>
          <w:r>
            <w:instrText xml:space="preserve"> TOC \o "1-3" \h \z \u </w:instrText>
          </w:r>
          <w:r>
            <w:fldChar w:fldCharType="separate"/>
          </w:r>
          <w:hyperlink w:anchor="_Toc528138530" w:history="1">
            <w:r w:rsidR="00F819AF" w:rsidRPr="00FB2FE8">
              <w:rPr>
                <w:rStyle w:val="Hypertextovodkaz"/>
                <w:noProof/>
                <w:lang w:val="de-CH"/>
              </w:rPr>
              <w:t>1.</w:t>
            </w:r>
            <w:r w:rsidR="00F819AF">
              <w:rPr>
                <w:rFonts w:asciiTheme="minorHAnsi" w:eastAsiaTheme="minorEastAsia" w:hAnsiTheme="minorHAnsi" w:cstheme="minorBidi"/>
                <w:noProof/>
                <w:szCs w:val="22"/>
                <w:lang w:val="cs-CZ" w:eastAsia="cs-CZ"/>
              </w:rPr>
              <w:tab/>
            </w:r>
            <w:r w:rsidR="00F819AF" w:rsidRPr="00FB2FE8">
              <w:rPr>
                <w:rStyle w:val="Hypertextovodkaz"/>
                <w:noProof/>
                <w:lang w:val="de-CH"/>
              </w:rPr>
              <w:t>General</w:t>
            </w:r>
            <w:r w:rsidR="00F819AF">
              <w:rPr>
                <w:noProof/>
                <w:webHidden/>
              </w:rPr>
              <w:tab/>
            </w:r>
            <w:r w:rsidR="00F819AF">
              <w:rPr>
                <w:noProof/>
                <w:webHidden/>
              </w:rPr>
              <w:fldChar w:fldCharType="begin"/>
            </w:r>
            <w:r w:rsidR="00F819AF">
              <w:rPr>
                <w:noProof/>
                <w:webHidden/>
              </w:rPr>
              <w:instrText xml:space="preserve"> PAGEREF _Toc528138530 \h </w:instrText>
            </w:r>
            <w:r w:rsidR="00F819AF">
              <w:rPr>
                <w:noProof/>
                <w:webHidden/>
              </w:rPr>
            </w:r>
            <w:r w:rsidR="00F819AF">
              <w:rPr>
                <w:noProof/>
                <w:webHidden/>
              </w:rPr>
              <w:fldChar w:fldCharType="separate"/>
            </w:r>
            <w:r w:rsidR="00F819AF">
              <w:rPr>
                <w:noProof/>
                <w:webHidden/>
              </w:rPr>
              <w:t>2</w:t>
            </w:r>
            <w:r w:rsidR="00F819AF">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1" w:history="1">
            <w:r w:rsidRPr="00FB2FE8">
              <w:rPr>
                <w:rStyle w:val="Hypertextovodkaz"/>
                <w:noProof/>
                <w:lang w:val="fr-CH"/>
              </w:rPr>
              <w:t>2.</w:t>
            </w:r>
            <w:r>
              <w:rPr>
                <w:rFonts w:asciiTheme="minorHAnsi" w:eastAsiaTheme="minorEastAsia" w:hAnsiTheme="minorHAnsi" w:cstheme="minorBidi"/>
                <w:noProof/>
                <w:szCs w:val="22"/>
                <w:lang w:val="cs-CZ" w:eastAsia="cs-CZ"/>
              </w:rPr>
              <w:tab/>
            </w:r>
            <w:r w:rsidRPr="00FB2FE8">
              <w:rPr>
                <w:rStyle w:val="Hypertextovodkaz"/>
                <w:noProof/>
                <w:lang w:val="fr-CH"/>
              </w:rPr>
              <w:t>Offers from vendors / Contract termination</w:t>
            </w:r>
            <w:r>
              <w:rPr>
                <w:noProof/>
                <w:webHidden/>
              </w:rPr>
              <w:tab/>
            </w:r>
            <w:r>
              <w:rPr>
                <w:noProof/>
                <w:webHidden/>
              </w:rPr>
              <w:fldChar w:fldCharType="begin"/>
            </w:r>
            <w:r>
              <w:rPr>
                <w:noProof/>
                <w:webHidden/>
              </w:rPr>
              <w:instrText xml:space="preserve"> PAGEREF _Toc528138531 \h </w:instrText>
            </w:r>
            <w:r>
              <w:rPr>
                <w:noProof/>
                <w:webHidden/>
              </w:rPr>
            </w:r>
            <w:r>
              <w:rPr>
                <w:noProof/>
                <w:webHidden/>
              </w:rPr>
              <w:fldChar w:fldCharType="separate"/>
            </w:r>
            <w:r>
              <w:rPr>
                <w:noProof/>
                <w:webHidden/>
              </w:rPr>
              <w:t>2</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2" w:history="1">
            <w:r w:rsidRPr="00FB2FE8">
              <w:rPr>
                <w:rStyle w:val="Hypertextovodkaz"/>
                <w:noProof/>
                <w:lang w:val="fr-CH"/>
              </w:rPr>
              <w:t>3.</w:t>
            </w:r>
            <w:r>
              <w:rPr>
                <w:rFonts w:asciiTheme="minorHAnsi" w:eastAsiaTheme="minorEastAsia" w:hAnsiTheme="minorHAnsi" w:cstheme="minorBidi"/>
                <w:noProof/>
                <w:szCs w:val="22"/>
                <w:lang w:val="cs-CZ" w:eastAsia="cs-CZ"/>
              </w:rPr>
              <w:tab/>
            </w:r>
            <w:r w:rsidRPr="00FB2FE8">
              <w:rPr>
                <w:rStyle w:val="Hypertextovodkaz"/>
                <w:noProof/>
                <w:lang w:val="fr-CH"/>
              </w:rPr>
              <w:t>Scope of delivery / Amendments in the scope of delivery.</w:t>
            </w:r>
            <w:r>
              <w:rPr>
                <w:noProof/>
                <w:webHidden/>
              </w:rPr>
              <w:tab/>
            </w:r>
            <w:r>
              <w:rPr>
                <w:noProof/>
                <w:webHidden/>
              </w:rPr>
              <w:fldChar w:fldCharType="begin"/>
            </w:r>
            <w:r>
              <w:rPr>
                <w:noProof/>
                <w:webHidden/>
              </w:rPr>
              <w:instrText xml:space="preserve"> PAGEREF _Toc528138532 \h </w:instrText>
            </w:r>
            <w:r>
              <w:rPr>
                <w:noProof/>
                <w:webHidden/>
              </w:rPr>
            </w:r>
            <w:r>
              <w:rPr>
                <w:noProof/>
                <w:webHidden/>
              </w:rPr>
              <w:fldChar w:fldCharType="separate"/>
            </w:r>
            <w:r>
              <w:rPr>
                <w:noProof/>
                <w:webHidden/>
              </w:rPr>
              <w:t>2</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3" w:history="1">
            <w:r w:rsidRPr="00FB2FE8">
              <w:rPr>
                <w:rStyle w:val="Hypertextovodkaz"/>
                <w:noProof/>
                <w:lang w:val="fr-CH"/>
              </w:rPr>
              <w:t>4.</w:t>
            </w:r>
            <w:r>
              <w:rPr>
                <w:rFonts w:asciiTheme="minorHAnsi" w:eastAsiaTheme="minorEastAsia" w:hAnsiTheme="minorHAnsi" w:cstheme="minorBidi"/>
                <w:noProof/>
                <w:szCs w:val="22"/>
                <w:lang w:val="cs-CZ" w:eastAsia="cs-CZ"/>
              </w:rPr>
              <w:tab/>
            </w:r>
            <w:r w:rsidRPr="00FB2FE8">
              <w:rPr>
                <w:rStyle w:val="Hypertextovodkaz"/>
                <w:noProof/>
                <w:lang w:val="fr-CH"/>
              </w:rPr>
              <w:t>Price / Payment terms</w:t>
            </w:r>
            <w:r>
              <w:rPr>
                <w:noProof/>
                <w:webHidden/>
              </w:rPr>
              <w:tab/>
            </w:r>
            <w:r>
              <w:rPr>
                <w:noProof/>
                <w:webHidden/>
              </w:rPr>
              <w:fldChar w:fldCharType="begin"/>
            </w:r>
            <w:r>
              <w:rPr>
                <w:noProof/>
                <w:webHidden/>
              </w:rPr>
              <w:instrText xml:space="preserve"> PAGEREF _Toc528138533 \h </w:instrText>
            </w:r>
            <w:r>
              <w:rPr>
                <w:noProof/>
                <w:webHidden/>
              </w:rPr>
            </w:r>
            <w:r>
              <w:rPr>
                <w:noProof/>
                <w:webHidden/>
              </w:rPr>
              <w:fldChar w:fldCharType="separate"/>
            </w:r>
            <w:r>
              <w:rPr>
                <w:noProof/>
                <w:webHidden/>
              </w:rPr>
              <w:t>3</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4" w:history="1">
            <w:r w:rsidRPr="00FB2FE8">
              <w:rPr>
                <w:rStyle w:val="Hypertextovodkaz"/>
                <w:noProof/>
                <w:lang w:val="de-CH"/>
              </w:rPr>
              <w:t>5.</w:t>
            </w:r>
            <w:r>
              <w:rPr>
                <w:rFonts w:asciiTheme="minorHAnsi" w:eastAsiaTheme="minorEastAsia" w:hAnsiTheme="minorHAnsi" w:cstheme="minorBidi"/>
                <w:noProof/>
                <w:szCs w:val="22"/>
                <w:lang w:val="cs-CZ" w:eastAsia="cs-CZ"/>
              </w:rPr>
              <w:tab/>
            </w:r>
            <w:r w:rsidRPr="00FB2FE8">
              <w:rPr>
                <w:rStyle w:val="Hypertextovodkaz"/>
                <w:noProof/>
                <w:lang w:val="de-CH"/>
              </w:rPr>
              <w:t>Delivery deadline and term / delay</w:t>
            </w:r>
            <w:r>
              <w:rPr>
                <w:noProof/>
                <w:webHidden/>
              </w:rPr>
              <w:tab/>
            </w:r>
            <w:r>
              <w:rPr>
                <w:noProof/>
                <w:webHidden/>
              </w:rPr>
              <w:fldChar w:fldCharType="begin"/>
            </w:r>
            <w:r>
              <w:rPr>
                <w:noProof/>
                <w:webHidden/>
              </w:rPr>
              <w:instrText xml:space="preserve"> PAGEREF _Toc528138534 \h </w:instrText>
            </w:r>
            <w:r>
              <w:rPr>
                <w:noProof/>
                <w:webHidden/>
              </w:rPr>
            </w:r>
            <w:r>
              <w:rPr>
                <w:noProof/>
                <w:webHidden/>
              </w:rPr>
              <w:fldChar w:fldCharType="separate"/>
            </w:r>
            <w:r>
              <w:rPr>
                <w:noProof/>
                <w:webHidden/>
              </w:rPr>
              <w:t>3</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5" w:history="1">
            <w:r w:rsidRPr="00FB2FE8">
              <w:rPr>
                <w:rStyle w:val="Hypertextovodkaz"/>
                <w:noProof/>
                <w:lang w:val="de-CH"/>
              </w:rPr>
              <w:t>6.</w:t>
            </w:r>
            <w:r>
              <w:rPr>
                <w:rFonts w:asciiTheme="minorHAnsi" w:eastAsiaTheme="minorEastAsia" w:hAnsiTheme="minorHAnsi" w:cstheme="minorBidi"/>
                <w:noProof/>
                <w:szCs w:val="22"/>
                <w:lang w:val="cs-CZ" w:eastAsia="cs-CZ"/>
              </w:rPr>
              <w:tab/>
            </w:r>
            <w:r w:rsidRPr="00FB2FE8">
              <w:rPr>
                <w:rStyle w:val="Hypertextovodkaz"/>
                <w:noProof/>
                <w:lang w:val="de-CH"/>
              </w:rPr>
              <w:t>Further delivery terms</w:t>
            </w:r>
            <w:r>
              <w:rPr>
                <w:noProof/>
                <w:webHidden/>
              </w:rPr>
              <w:tab/>
            </w:r>
            <w:r>
              <w:rPr>
                <w:noProof/>
                <w:webHidden/>
              </w:rPr>
              <w:fldChar w:fldCharType="begin"/>
            </w:r>
            <w:r>
              <w:rPr>
                <w:noProof/>
                <w:webHidden/>
              </w:rPr>
              <w:instrText xml:space="preserve"> PAGEREF _Toc528138535 \h </w:instrText>
            </w:r>
            <w:r>
              <w:rPr>
                <w:noProof/>
                <w:webHidden/>
              </w:rPr>
            </w:r>
            <w:r>
              <w:rPr>
                <w:noProof/>
                <w:webHidden/>
              </w:rPr>
              <w:fldChar w:fldCharType="separate"/>
            </w:r>
            <w:r>
              <w:rPr>
                <w:noProof/>
                <w:webHidden/>
              </w:rPr>
              <w:t>3</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6" w:history="1">
            <w:r w:rsidRPr="00FB2FE8">
              <w:rPr>
                <w:rStyle w:val="Hypertextovodkaz"/>
                <w:noProof/>
                <w:lang w:val="fr-CH"/>
              </w:rPr>
              <w:t>7.</w:t>
            </w:r>
            <w:r>
              <w:rPr>
                <w:rFonts w:asciiTheme="minorHAnsi" w:eastAsiaTheme="minorEastAsia" w:hAnsiTheme="minorHAnsi" w:cstheme="minorBidi"/>
                <w:noProof/>
                <w:szCs w:val="22"/>
                <w:lang w:val="cs-CZ" w:eastAsia="cs-CZ"/>
              </w:rPr>
              <w:tab/>
            </w:r>
            <w:r w:rsidRPr="00FB2FE8">
              <w:rPr>
                <w:rStyle w:val="Hypertextovodkaz"/>
                <w:noProof/>
                <w:lang w:val="fr-CH"/>
              </w:rPr>
              <w:t>Confidentiality obligations / Trademark rights of APAG</w:t>
            </w:r>
            <w:r>
              <w:rPr>
                <w:noProof/>
                <w:webHidden/>
              </w:rPr>
              <w:tab/>
            </w:r>
            <w:r>
              <w:rPr>
                <w:noProof/>
                <w:webHidden/>
              </w:rPr>
              <w:fldChar w:fldCharType="begin"/>
            </w:r>
            <w:r>
              <w:rPr>
                <w:noProof/>
                <w:webHidden/>
              </w:rPr>
              <w:instrText xml:space="preserve"> PAGEREF _Toc528138536 \h </w:instrText>
            </w:r>
            <w:r>
              <w:rPr>
                <w:noProof/>
                <w:webHidden/>
              </w:rPr>
            </w:r>
            <w:r>
              <w:rPr>
                <w:noProof/>
                <w:webHidden/>
              </w:rPr>
              <w:fldChar w:fldCharType="separate"/>
            </w:r>
            <w:r>
              <w:rPr>
                <w:noProof/>
                <w:webHidden/>
              </w:rPr>
              <w:t>4</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7" w:history="1">
            <w:r w:rsidRPr="00FB2FE8">
              <w:rPr>
                <w:rStyle w:val="Hypertextovodkaz"/>
                <w:noProof/>
                <w:lang w:val="fr-CH"/>
              </w:rPr>
              <w:t>8.</w:t>
            </w:r>
            <w:r>
              <w:rPr>
                <w:rFonts w:asciiTheme="minorHAnsi" w:eastAsiaTheme="minorEastAsia" w:hAnsiTheme="minorHAnsi" w:cstheme="minorBidi"/>
                <w:noProof/>
                <w:szCs w:val="22"/>
                <w:lang w:val="cs-CZ" w:eastAsia="cs-CZ"/>
              </w:rPr>
              <w:tab/>
            </w:r>
            <w:r w:rsidRPr="00FB2FE8">
              <w:rPr>
                <w:rStyle w:val="Hypertextovodkaz"/>
                <w:noProof/>
                <w:lang w:val="fr-CH"/>
              </w:rPr>
              <w:t>Third party intellectual property rights.</w:t>
            </w:r>
            <w:r>
              <w:rPr>
                <w:noProof/>
                <w:webHidden/>
              </w:rPr>
              <w:tab/>
            </w:r>
            <w:r>
              <w:rPr>
                <w:noProof/>
                <w:webHidden/>
              </w:rPr>
              <w:fldChar w:fldCharType="begin"/>
            </w:r>
            <w:r>
              <w:rPr>
                <w:noProof/>
                <w:webHidden/>
              </w:rPr>
              <w:instrText xml:space="preserve"> PAGEREF _Toc528138537 \h </w:instrText>
            </w:r>
            <w:r>
              <w:rPr>
                <w:noProof/>
                <w:webHidden/>
              </w:rPr>
            </w:r>
            <w:r>
              <w:rPr>
                <w:noProof/>
                <w:webHidden/>
              </w:rPr>
              <w:fldChar w:fldCharType="separate"/>
            </w:r>
            <w:r>
              <w:rPr>
                <w:noProof/>
                <w:webHidden/>
              </w:rPr>
              <w:t>4</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8" w:history="1">
            <w:r w:rsidRPr="00FB2FE8">
              <w:rPr>
                <w:rStyle w:val="Hypertextovodkaz"/>
                <w:noProof/>
                <w:lang w:val="fr-CH"/>
              </w:rPr>
              <w:t>9.</w:t>
            </w:r>
            <w:r>
              <w:rPr>
                <w:rFonts w:asciiTheme="minorHAnsi" w:eastAsiaTheme="minorEastAsia" w:hAnsiTheme="minorHAnsi" w:cstheme="minorBidi"/>
                <w:noProof/>
                <w:szCs w:val="22"/>
                <w:lang w:val="cs-CZ" w:eastAsia="cs-CZ"/>
              </w:rPr>
              <w:tab/>
            </w:r>
            <w:r w:rsidRPr="00FB2FE8">
              <w:rPr>
                <w:rStyle w:val="Hypertextovodkaz"/>
                <w:noProof/>
                <w:lang w:val="fr-CH"/>
              </w:rPr>
              <w:t>Guarantee (liability for defects / faulty goods) / Quality</w:t>
            </w:r>
            <w:r>
              <w:rPr>
                <w:noProof/>
                <w:webHidden/>
              </w:rPr>
              <w:tab/>
            </w:r>
            <w:r>
              <w:rPr>
                <w:noProof/>
                <w:webHidden/>
              </w:rPr>
              <w:fldChar w:fldCharType="begin"/>
            </w:r>
            <w:r>
              <w:rPr>
                <w:noProof/>
                <w:webHidden/>
              </w:rPr>
              <w:instrText xml:space="preserve"> PAGEREF _Toc528138538 \h </w:instrText>
            </w:r>
            <w:r>
              <w:rPr>
                <w:noProof/>
                <w:webHidden/>
              </w:rPr>
            </w:r>
            <w:r>
              <w:rPr>
                <w:noProof/>
                <w:webHidden/>
              </w:rPr>
              <w:fldChar w:fldCharType="separate"/>
            </w:r>
            <w:r>
              <w:rPr>
                <w:noProof/>
                <w:webHidden/>
              </w:rPr>
              <w:t>4</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39" w:history="1">
            <w:r w:rsidRPr="00FB2FE8">
              <w:rPr>
                <w:rStyle w:val="Hypertextovodkaz"/>
                <w:noProof/>
                <w:lang w:val="fr-CH"/>
              </w:rPr>
              <w:t>10.</w:t>
            </w:r>
            <w:r>
              <w:rPr>
                <w:rFonts w:asciiTheme="minorHAnsi" w:eastAsiaTheme="minorEastAsia" w:hAnsiTheme="minorHAnsi" w:cstheme="minorBidi"/>
                <w:noProof/>
                <w:szCs w:val="22"/>
                <w:lang w:val="cs-CZ" w:eastAsia="cs-CZ"/>
              </w:rPr>
              <w:tab/>
            </w:r>
            <w:r w:rsidRPr="00FB2FE8">
              <w:rPr>
                <w:rStyle w:val="Hypertextovodkaz"/>
                <w:noProof/>
                <w:lang w:val="fr-CH"/>
              </w:rPr>
              <w:t>Product liability</w:t>
            </w:r>
            <w:r>
              <w:rPr>
                <w:noProof/>
                <w:webHidden/>
              </w:rPr>
              <w:tab/>
            </w:r>
            <w:r>
              <w:rPr>
                <w:noProof/>
                <w:webHidden/>
              </w:rPr>
              <w:fldChar w:fldCharType="begin"/>
            </w:r>
            <w:r>
              <w:rPr>
                <w:noProof/>
                <w:webHidden/>
              </w:rPr>
              <w:instrText xml:space="preserve"> PAGEREF _Toc528138539 \h </w:instrText>
            </w:r>
            <w:r>
              <w:rPr>
                <w:noProof/>
                <w:webHidden/>
              </w:rPr>
            </w:r>
            <w:r>
              <w:rPr>
                <w:noProof/>
                <w:webHidden/>
              </w:rPr>
              <w:fldChar w:fldCharType="separate"/>
            </w:r>
            <w:r>
              <w:rPr>
                <w:noProof/>
                <w:webHidden/>
              </w:rPr>
              <w:t>5</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0" w:history="1">
            <w:r w:rsidRPr="00FB2FE8">
              <w:rPr>
                <w:rStyle w:val="Hypertextovodkaz"/>
                <w:noProof/>
                <w:lang w:val="fr-CH"/>
              </w:rPr>
              <w:t>11.</w:t>
            </w:r>
            <w:r>
              <w:rPr>
                <w:rFonts w:asciiTheme="minorHAnsi" w:eastAsiaTheme="minorEastAsia" w:hAnsiTheme="minorHAnsi" w:cstheme="minorBidi"/>
                <w:noProof/>
                <w:szCs w:val="22"/>
                <w:lang w:val="cs-CZ" w:eastAsia="cs-CZ"/>
              </w:rPr>
              <w:tab/>
            </w:r>
            <w:r w:rsidRPr="00FB2FE8">
              <w:rPr>
                <w:rStyle w:val="Hypertextovodkaz"/>
                <w:noProof/>
                <w:lang w:val="fr-CH"/>
              </w:rPr>
              <w:t>Supplies</w:t>
            </w:r>
            <w:r>
              <w:rPr>
                <w:noProof/>
                <w:webHidden/>
              </w:rPr>
              <w:tab/>
            </w:r>
            <w:r>
              <w:rPr>
                <w:noProof/>
                <w:webHidden/>
              </w:rPr>
              <w:fldChar w:fldCharType="begin"/>
            </w:r>
            <w:r>
              <w:rPr>
                <w:noProof/>
                <w:webHidden/>
              </w:rPr>
              <w:instrText xml:space="preserve"> PAGEREF _Toc528138540 \h </w:instrText>
            </w:r>
            <w:r>
              <w:rPr>
                <w:noProof/>
                <w:webHidden/>
              </w:rPr>
            </w:r>
            <w:r>
              <w:rPr>
                <w:noProof/>
                <w:webHidden/>
              </w:rPr>
              <w:fldChar w:fldCharType="separate"/>
            </w:r>
            <w:r>
              <w:rPr>
                <w:noProof/>
                <w:webHidden/>
              </w:rPr>
              <w:t>5</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1" w:history="1">
            <w:r w:rsidRPr="00FB2FE8">
              <w:rPr>
                <w:rStyle w:val="Hypertextovodkaz"/>
                <w:noProof/>
                <w:lang w:val="fr-CH"/>
              </w:rPr>
              <w:t>12.</w:t>
            </w:r>
            <w:r>
              <w:rPr>
                <w:rFonts w:asciiTheme="minorHAnsi" w:eastAsiaTheme="minorEastAsia" w:hAnsiTheme="minorHAnsi" w:cstheme="minorBidi"/>
                <w:noProof/>
                <w:szCs w:val="22"/>
                <w:lang w:val="cs-CZ" w:eastAsia="cs-CZ"/>
              </w:rPr>
              <w:tab/>
            </w:r>
            <w:r w:rsidRPr="00FB2FE8">
              <w:rPr>
                <w:rStyle w:val="Hypertextovodkaz"/>
                <w:noProof/>
                <w:lang w:val="fr-CH"/>
              </w:rPr>
              <w:t>Manufacturing equipment manufactured by the vendor (tools etc.)</w:t>
            </w:r>
            <w:r>
              <w:rPr>
                <w:noProof/>
                <w:webHidden/>
              </w:rPr>
              <w:tab/>
            </w:r>
            <w:r>
              <w:rPr>
                <w:noProof/>
                <w:webHidden/>
              </w:rPr>
              <w:fldChar w:fldCharType="begin"/>
            </w:r>
            <w:r>
              <w:rPr>
                <w:noProof/>
                <w:webHidden/>
              </w:rPr>
              <w:instrText xml:space="preserve"> PAGEREF _Toc528138541 \h </w:instrText>
            </w:r>
            <w:r>
              <w:rPr>
                <w:noProof/>
                <w:webHidden/>
              </w:rPr>
            </w:r>
            <w:r>
              <w:rPr>
                <w:noProof/>
                <w:webHidden/>
              </w:rPr>
              <w:fldChar w:fldCharType="separate"/>
            </w:r>
            <w:r>
              <w:rPr>
                <w:noProof/>
                <w:webHidden/>
              </w:rPr>
              <w:t>5</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2" w:history="1">
            <w:r w:rsidRPr="00FB2FE8">
              <w:rPr>
                <w:rStyle w:val="Hypertextovodkaz"/>
                <w:noProof/>
                <w:lang w:val="fr-CH"/>
              </w:rPr>
              <w:t>13.</w:t>
            </w:r>
            <w:r>
              <w:rPr>
                <w:rFonts w:asciiTheme="minorHAnsi" w:eastAsiaTheme="minorEastAsia" w:hAnsiTheme="minorHAnsi" w:cstheme="minorBidi"/>
                <w:noProof/>
                <w:szCs w:val="22"/>
                <w:lang w:val="cs-CZ" w:eastAsia="cs-CZ"/>
              </w:rPr>
              <w:tab/>
            </w:r>
            <w:r w:rsidRPr="00FB2FE8">
              <w:rPr>
                <w:rStyle w:val="Hypertextovodkaz"/>
                <w:noProof/>
                <w:lang w:val="fr-CH"/>
              </w:rPr>
              <w:t>Long term inability to deliver / impending insolvency of the vendor</w:t>
            </w:r>
            <w:r>
              <w:rPr>
                <w:noProof/>
                <w:webHidden/>
              </w:rPr>
              <w:tab/>
            </w:r>
            <w:r>
              <w:rPr>
                <w:noProof/>
                <w:webHidden/>
              </w:rPr>
              <w:fldChar w:fldCharType="begin"/>
            </w:r>
            <w:r>
              <w:rPr>
                <w:noProof/>
                <w:webHidden/>
              </w:rPr>
              <w:instrText xml:space="preserve"> PAGEREF _Toc528138542 \h </w:instrText>
            </w:r>
            <w:r>
              <w:rPr>
                <w:noProof/>
                <w:webHidden/>
              </w:rPr>
            </w:r>
            <w:r>
              <w:rPr>
                <w:noProof/>
                <w:webHidden/>
              </w:rPr>
              <w:fldChar w:fldCharType="separate"/>
            </w:r>
            <w:r>
              <w:rPr>
                <w:noProof/>
                <w:webHidden/>
              </w:rPr>
              <w:t>6</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3" w:history="1">
            <w:r w:rsidRPr="00FB2FE8">
              <w:rPr>
                <w:rStyle w:val="Hypertextovodkaz"/>
                <w:noProof/>
                <w:lang w:val="fr-CH"/>
              </w:rPr>
              <w:t>14.</w:t>
            </w:r>
            <w:r>
              <w:rPr>
                <w:rFonts w:asciiTheme="minorHAnsi" w:eastAsiaTheme="minorEastAsia" w:hAnsiTheme="minorHAnsi" w:cstheme="minorBidi"/>
                <w:noProof/>
                <w:szCs w:val="22"/>
                <w:lang w:val="cs-CZ" w:eastAsia="cs-CZ"/>
              </w:rPr>
              <w:tab/>
            </w:r>
            <w:r w:rsidRPr="00FB2FE8">
              <w:rPr>
                <w:rStyle w:val="Hypertextovodkaz"/>
                <w:noProof/>
                <w:lang w:val="fr-CH"/>
              </w:rPr>
              <w:t>Salvatorious clause</w:t>
            </w:r>
            <w:r>
              <w:rPr>
                <w:noProof/>
                <w:webHidden/>
              </w:rPr>
              <w:tab/>
            </w:r>
            <w:r>
              <w:rPr>
                <w:noProof/>
                <w:webHidden/>
              </w:rPr>
              <w:fldChar w:fldCharType="begin"/>
            </w:r>
            <w:r>
              <w:rPr>
                <w:noProof/>
                <w:webHidden/>
              </w:rPr>
              <w:instrText xml:space="preserve"> PAGEREF _Toc528138543 \h </w:instrText>
            </w:r>
            <w:r>
              <w:rPr>
                <w:noProof/>
                <w:webHidden/>
              </w:rPr>
            </w:r>
            <w:r>
              <w:rPr>
                <w:noProof/>
                <w:webHidden/>
              </w:rPr>
              <w:fldChar w:fldCharType="separate"/>
            </w:r>
            <w:r>
              <w:rPr>
                <w:noProof/>
                <w:webHidden/>
              </w:rPr>
              <w:t>6</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4" w:history="1">
            <w:r w:rsidRPr="00FB2FE8">
              <w:rPr>
                <w:rStyle w:val="Hypertextovodkaz"/>
                <w:noProof/>
                <w:lang w:val="fr-CH"/>
              </w:rPr>
              <w:t>15.</w:t>
            </w:r>
            <w:r>
              <w:rPr>
                <w:rFonts w:asciiTheme="minorHAnsi" w:eastAsiaTheme="minorEastAsia" w:hAnsiTheme="minorHAnsi" w:cstheme="minorBidi"/>
                <w:noProof/>
                <w:szCs w:val="22"/>
                <w:lang w:val="cs-CZ" w:eastAsia="cs-CZ"/>
              </w:rPr>
              <w:tab/>
            </w:r>
            <w:r w:rsidRPr="00FB2FE8">
              <w:rPr>
                <w:rStyle w:val="Hypertextovodkaz"/>
                <w:noProof/>
                <w:lang w:val="fr-CH"/>
              </w:rPr>
              <w:t>Applicable law and jurisdiction</w:t>
            </w:r>
            <w:r>
              <w:rPr>
                <w:noProof/>
                <w:webHidden/>
              </w:rPr>
              <w:tab/>
            </w:r>
            <w:r>
              <w:rPr>
                <w:noProof/>
                <w:webHidden/>
              </w:rPr>
              <w:fldChar w:fldCharType="begin"/>
            </w:r>
            <w:r>
              <w:rPr>
                <w:noProof/>
                <w:webHidden/>
              </w:rPr>
              <w:instrText xml:space="preserve"> PAGEREF _Toc528138544 \h </w:instrText>
            </w:r>
            <w:r>
              <w:rPr>
                <w:noProof/>
                <w:webHidden/>
              </w:rPr>
            </w:r>
            <w:r>
              <w:rPr>
                <w:noProof/>
                <w:webHidden/>
              </w:rPr>
              <w:fldChar w:fldCharType="separate"/>
            </w:r>
            <w:r>
              <w:rPr>
                <w:noProof/>
                <w:webHidden/>
              </w:rPr>
              <w:t>6</w:t>
            </w:r>
            <w:r>
              <w:rPr>
                <w:noProof/>
                <w:webHidden/>
              </w:rPr>
              <w:fldChar w:fldCharType="end"/>
            </w:r>
          </w:hyperlink>
        </w:p>
        <w:p w:rsidR="00F819AF" w:rsidRDefault="00F819AF">
          <w:pPr>
            <w:pStyle w:val="Obsah1"/>
            <w:rPr>
              <w:rFonts w:asciiTheme="minorHAnsi" w:eastAsiaTheme="minorEastAsia" w:hAnsiTheme="minorHAnsi" w:cstheme="minorBidi"/>
              <w:noProof/>
              <w:szCs w:val="22"/>
              <w:lang w:val="cs-CZ" w:eastAsia="cs-CZ"/>
            </w:rPr>
          </w:pPr>
          <w:hyperlink w:anchor="_Toc528138545" w:history="1">
            <w:r w:rsidRPr="00FB2FE8">
              <w:rPr>
                <w:rStyle w:val="Hypertextovodkaz"/>
                <w:noProof/>
                <w:lang w:val="fr-CH"/>
              </w:rPr>
              <w:t>Document History</w:t>
            </w:r>
            <w:r>
              <w:rPr>
                <w:noProof/>
                <w:webHidden/>
              </w:rPr>
              <w:tab/>
            </w:r>
            <w:r>
              <w:rPr>
                <w:noProof/>
                <w:webHidden/>
              </w:rPr>
              <w:fldChar w:fldCharType="begin"/>
            </w:r>
            <w:r>
              <w:rPr>
                <w:noProof/>
                <w:webHidden/>
              </w:rPr>
              <w:instrText xml:space="preserve"> PAGEREF _Toc528138545 \h </w:instrText>
            </w:r>
            <w:r>
              <w:rPr>
                <w:noProof/>
                <w:webHidden/>
              </w:rPr>
            </w:r>
            <w:r>
              <w:rPr>
                <w:noProof/>
                <w:webHidden/>
              </w:rPr>
              <w:fldChar w:fldCharType="separate"/>
            </w:r>
            <w:r>
              <w:rPr>
                <w:noProof/>
                <w:webHidden/>
              </w:rPr>
              <w:t>6</w:t>
            </w:r>
            <w:r>
              <w:rPr>
                <w:noProof/>
                <w:webHidden/>
              </w:rPr>
              <w:fldChar w:fldCharType="end"/>
            </w:r>
          </w:hyperlink>
        </w:p>
        <w:p w:rsidR="00FB5A22" w:rsidRDefault="00FB5A22" w:rsidP="00FB5A22">
          <w:pPr>
            <w:rPr>
              <w:b/>
              <w:bCs/>
            </w:rPr>
          </w:pPr>
          <w:r>
            <w:rPr>
              <w:b/>
              <w:bCs/>
            </w:rPr>
            <w:fldChar w:fldCharType="end"/>
          </w: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Default="00FB5A22" w:rsidP="00FB5A22">
          <w:pPr>
            <w:rPr>
              <w:b/>
              <w:bCs/>
            </w:rPr>
          </w:pPr>
        </w:p>
        <w:p w:rsidR="00FB5A22" w:rsidRPr="00FB5A22" w:rsidRDefault="00F819AF" w:rsidP="00FB5A22"/>
      </w:sdtContent>
    </w:sdt>
    <w:p w:rsidR="000B332F" w:rsidRDefault="000B332F" w:rsidP="000B332F">
      <w:pPr>
        <w:pStyle w:val="Nadpis1"/>
        <w:pageBreakBefore w:val="0"/>
        <w:numPr>
          <w:ilvl w:val="0"/>
          <w:numId w:val="6"/>
        </w:numPr>
        <w:rPr>
          <w:sz w:val="20"/>
          <w:lang w:val="de-CH"/>
        </w:rPr>
      </w:pPr>
      <w:bookmarkStart w:id="0" w:name="_Toc528138530"/>
      <w:r>
        <w:rPr>
          <w:sz w:val="20"/>
          <w:lang w:val="de-CH"/>
        </w:rPr>
        <w:lastRenderedPageBreak/>
        <w:t>General</w:t>
      </w:r>
      <w:bookmarkEnd w:id="0"/>
    </w:p>
    <w:p w:rsidR="000B332F" w:rsidRPr="000B332F" w:rsidRDefault="000B332F" w:rsidP="000B332F">
      <w:pPr>
        <w:pStyle w:val="Normlnodsazen"/>
        <w:rPr>
          <w:lang w:val="de-CH"/>
        </w:rPr>
      </w:pPr>
      <w:bookmarkStart w:id="1" w:name="_GoBack"/>
      <w:bookmarkEnd w:id="1"/>
    </w:p>
    <w:p w:rsidR="000B332F" w:rsidRPr="00DF50F4" w:rsidRDefault="000B332F" w:rsidP="000B332F">
      <w:pPr>
        <w:widowControl w:val="0"/>
        <w:autoSpaceDE w:val="0"/>
        <w:autoSpaceDN w:val="0"/>
        <w:adjustRightInd w:val="0"/>
        <w:spacing w:before="4"/>
        <w:ind w:left="408" w:right="281"/>
        <w:rPr>
          <w:rFonts w:cs="Arial"/>
          <w:spacing w:val="1"/>
          <w:sz w:val="18"/>
          <w:szCs w:val="18"/>
          <w:lang w:val="en-US"/>
        </w:rPr>
      </w:pPr>
      <w:r w:rsidRPr="00DF50F4">
        <w:rPr>
          <w:rFonts w:cs="Arial"/>
          <w:spacing w:val="1"/>
          <w:sz w:val="18"/>
          <w:szCs w:val="18"/>
          <w:lang w:val="en-US"/>
        </w:rPr>
        <w:t xml:space="preserve">The following general buying terms (AEB) are applicable for the legal relationship between the vendor and </w:t>
      </w:r>
      <w:r w:rsidRPr="00DF50F4">
        <w:rPr>
          <w:rFonts w:cs="Arial"/>
          <w:sz w:val="18"/>
          <w:szCs w:val="18"/>
          <w:lang w:val="en-US"/>
        </w:rPr>
        <w:t>APAG</w:t>
      </w:r>
      <w:r w:rsidRPr="00DF50F4">
        <w:rPr>
          <w:rFonts w:ascii="Times New Roman" w:hAnsi="Times New Roman"/>
          <w:spacing w:val="1"/>
          <w:sz w:val="18"/>
          <w:szCs w:val="18"/>
          <w:lang w:val="en-US"/>
        </w:rPr>
        <w:t xml:space="preserve"> </w:t>
      </w:r>
      <w:proofErr w:type="spellStart"/>
      <w:r w:rsidRPr="00DF50F4">
        <w:rPr>
          <w:rFonts w:cs="Arial"/>
          <w:sz w:val="18"/>
          <w:szCs w:val="18"/>
          <w:lang w:val="en-US"/>
        </w:rPr>
        <w:t>E</w:t>
      </w:r>
      <w:r w:rsidRPr="00DF50F4">
        <w:rPr>
          <w:rFonts w:cs="Arial"/>
          <w:spacing w:val="1"/>
          <w:sz w:val="18"/>
          <w:szCs w:val="18"/>
          <w:lang w:val="en-US"/>
        </w:rPr>
        <w:t>l</w:t>
      </w:r>
      <w:r w:rsidRPr="00DF50F4">
        <w:rPr>
          <w:rFonts w:cs="Arial"/>
          <w:spacing w:val="-2"/>
          <w:sz w:val="18"/>
          <w:szCs w:val="18"/>
          <w:lang w:val="en-US"/>
        </w:rPr>
        <w:t>e</w:t>
      </w:r>
      <w:r w:rsidRPr="00DF50F4">
        <w:rPr>
          <w:rFonts w:cs="Arial"/>
          <w:spacing w:val="1"/>
          <w:sz w:val="18"/>
          <w:szCs w:val="18"/>
          <w:lang w:val="en-US"/>
        </w:rPr>
        <w:t>k</w:t>
      </w:r>
      <w:r w:rsidRPr="00DF50F4">
        <w:rPr>
          <w:rFonts w:cs="Arial"/>
          <w:sz w:val="18"/>
          <w:szCs w:val="18"/>
          <w:lang w:val="en-US"/>
        </w:rPr>
        <w:t>tr</w:t>
      </w:r>
      <w:r w:rsidRPr="00DF50F4">
        <w:rPr>
          <w:rFonts w:cs="Arial"/>
          <w:spacing w:val="1"/>
          <w:sz w:val="18"/>
          <w:szCs w:val="18"/>
          <w:lang w:val="en-US"/>
        </w:rPr>
        <w:t>o</w:t>
      </w:r>
      <w:r w:rsidRPr="00DF50F4">
        <w:rPr>
          <w:rFonts w:cs="Arial"/>
          <w:spacing w:val="-2"/>
          <w:sz w:val="18"/>
          <w:szCs w:val="18"/>
          <w:lang w:val="en-US"/>
        </w:rPr>
        <w:t>n</w:t>
      </w:r>
      <w:r w:rsidRPr="00DF50F4">
        <w:rPr>
          <w:rFonts w:cs="Arial"/>
          <w:spacing w:val="1"/>
          <w:sz w:val="18"/>
          <w:szCs w:val="18"/>
          <w:lang w:val="en-US"/>
        </w:rPr>
        <w:t>i</w:t>
      </w:r>
      <w:r w:rsidRPr="00DF50F4">
        <w:rPr>
          <w:rFonts w:cs="Arial"/>
          <w:sz w:val="18"/>
          <w:szCs w:val="18"/>
          <w:lang w:val="en-US"/>
        </w:rPr>
        <w:t>k</w:t>
      </w:r>
      <w:proofErr w:type="spellEnd"/>
      <w:r w:rsidRPr="00DF50F4">
        <w:rPr>
          <w:rFonts w:ascii="Times New Roman" w:hAnsi="Times New Roman"/>
          <w:spacing w:val="3"/>
          <w:sz w:val="18"/>
          <w:szCs w:val="18"/>
          <w:lang w:val="en-US"/>
        </w:rPr>
        <w:t xml:space="preserve"> </w:t>
      </w:r>
      <w:r w:rsidRPr="00DF50F4">
        <w:rPr>
          <w:rFonts w:cs="Arial"/>
          <w:sz w:val="18"/>
          <w:szCs w:val="18"/>
          <w:lang w:val="en-US"/>
        </w:rPr>
        <w:t>AG</w:t>
      </w:r>
      <w:r w:rsidRPr="00DF50F4">
        <w:rPr>
          <w:rFonts w:ascii="Times New Roman" w:hAnsi="Times New Roman"/>
          <w:spacing w:val="1"/>
          <w:sz w:val="18"/>
          <w:szCs w:val="18"/>
          <w:lang w:val="en-US"/>
        </w:rPr>
        <w:t xml:space="preserve"> </w:t>
      </w:r>
      <w:r w:rsidRPr="00DF50F4">
        <w:rPr>
          <w:rFonts w:cs="Arial"/>
          <w:sz w:val="18"/>
          <w:szCs w:val="18"/>
          <w:lang w:val="en-US"/>
        </w:rPr>
        <w:t>(„</w:t>
      </w:r>
      <w:proofErr w:type="gramStart"/>
      <w:r w:rsidRPr="00DF50F4">
        <w:rPr>
          <w:rFonts w:cs="Arial"/>
          <w:sz w:val="18"/>
          <w:szCs w:val="18"/>
          <w:lang w:val="en-US"/>
        </w:rPr>
        <w:t>A</w:t>
      </w:r>
      <w:r w:rsidRPr="00DF50F4">
        <w:rPr>
          <w:rFonts w:cs="Arial"/>
          <w:spacing w:val="-2"/>
          <w:sz w:val="18"/>
          <w:szCs w:val="18"/>
          <w:lang w:val="en-US"/>
        </w:rPr>
        <w:t>P</w:t>
      </w:r>
      <w:r w:rsidRPr="00DF50F4">
        <w:rPr>
          <w:rFonts w:cs="Arial"/>
          <w:sz w:val="18"/>
          <w:szCs w:val="18"/>
          <w:lang w:val="en-US"/>
        </w:rPr>
        <w:t>A</w:t>
      </w:r>
      <w:r w:rsidRPr="00DF50F4">
        <w:rPr>
          <w:rFonts w:cs="Arial"/>
          <w:spacing w:val="-1"/>
          <w:sz w:val="18"/>
          <w:szCs w:val="18"/>
          <w:lang w:val="en-US"/>
        </w:rPr>
        <w:t>G</w:t>
      </w:r>
      <w:r w:rsidRPr="00DF50F4">
        <w:rPr>
          <w:rFonts w:cs="Arial"/>
          <w:sz w:val="18"/>
          <w:szCs w:val="18"/>
          <w:lang w:val="en-US"/>
        </w:rPr>
        <w:t>“</w:t>
      </w:r>
      <w:proofErr w:type="gramEnd"/>
      <w:r w:rsidRPr="00DF50F4">
        <w:rPr>
          <w:rFonts w:cs="Arial"/>
          <w:sz w:val="18"/>
          <w:szCs w:val="18"/>
          <w:lang w:val="en-US"/>
        </w:rPr>
        <w:t xml:space="preserve">). </w:t>
      </w:r>
      <w:r w:rsidRPr="00DF50F4">
        <w:rPr>
          <w:rFonts w:cs="Arial"/>
          <w:spacing w:val="1"/>
          <w:sz w:val="18"/>
          <w:szCs w:val="18"/>
          <w:lang w:val="en-US"/>
        </w:rPr>
        <w:t>These become a component of the contract with the vendors when they are explained about the applicability and even when APAG refers to the AEB, whether it is as supplement to or print/copy of enquiries (confer additionally point 2 below) or orders (acceptance status: accepted) or should it be through notification (of supplements or orders etc.) of the link on the APAG website, where the text of AEB can be entered.</w:t>
      </w:r>
    </w:p>
    <w:p w:rsidR="000B332F" w:rsidRPr="00DF50F4" w:rsidRDefault="000B332F" w:rsidP="000B332F">
      <w:pPr>
        <w:widowControl w:val="0"/>
        <w:autoSpaceDE w:val="0"/>
        <w:autoSpaceDN w:val="0"/>
        <w:adjustRightInd w:val="0"/>
        <w:spacing w:before="4"/>
        <w:ind w:left="408" w:right="281"/>
        <w:rPr>
          <w:rFonts w:cs="Arial"/>
          <w:spacing w:val="1"/>
          <w:sz w:val="18"/>
          <w:szCs w:val="18"/>
          <w:lang w:val="en-US"/>
        </w:rPr>
      </w:pPr>
    </w:p>
    <w:p w:rsidR="000B332F" w:rsidRDefault="000B332F" w:rsidP="000B332F">
      <w:pPr>
        <w:widowControl w:val="0"/>
        <w:autoSpaceDE w:val="0"/>
        <w:autoSpaceDN w:val="0"/>
        <w:adjustRightInd w:val="0"/>
        <w:spacing w:before="4"/>
        <w:ind w:left="408" w:right="281"/>
        <w:rPr>
          <w:rFonts w:cs="Arial"/>
          <w:spacing w:val="1"/>
          <w:sz w:val="18"/>
          <w:szCs w:val="18"/>
          <w:lang w:val="fr-CH"/>
        </w:rPr>
      </w:pPr>
      <w:r w:rsidRPr="00DF50F4">
        <w:rPr>
          <w:rFonts w:cs="Arial"/>
          <w:spacing w:val="1"/>
          <w:sz w:val="18"/>
          <w:szCs w:val="18"/>
          <w:lang w:val="en-US"/>
        </w:rPr>
        <w:t xml:space="preserve">Contrary general terms of the vendors (e.g. their general delivery terms), particularly also those which explain their applicability with their offer, are fundamentally not recognized by APAG. </w:t>
      </w:r>
      <w:r w:rsidRPr="000B332F">
        <w:rPr>
          <w:rFonts w:cs="Arial"/>
          <w:spacing w:val="1"/>
          <w:sz w:val="18"/>
          <w:szCs w:val="18"/>
          <w:lang w:val="fr-CH"/>
        </w:rPr>
        <w:t>They are applicable only when accepted by APAG explicitly and in writing. Neither silence on the part of APAG nor assumptions by the vendor or their payment are valid as recognition.</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r w:rsidRPr="000B332F">
        <w:rPr>
          <w:rFonts w:cs="Arial"/>
          <w:spacing w:val="1"/>
          <w:sz w:val="18"/>
          <w:szCs w:val="18"/>
          <w:lang w:val="fr-CH"/>
        </w:rPr>
        <w:t>The existing AEB are valid subject to an otherwise contractual regulation.</w:t>
      </w:r>
    </w:p>
    <w:p w:rsidR="000B332F" w:rsidRPr="00DF50F4" w:rsidRDefault="000B332F" w:rsidP="000B332F">
      <w:pPr>
        <w:widowControl w:val="0"/>
        <w:autoSpaceDE w:val="0"/>
        <w:autoSpaceDN w:val="0"/>
        <w:adjustRightInd w:val="0"/>
        <w:spacing w:before="4"/>
        <w:ind w:left="408" w:right="281"/>
        <w:rPr>
          <w:rFonts w:cs="Arial"/>
          <w:spacing w:val="1"/>
          <w:sz w:val="18"/>
          <w:szCs w:val="18"/>
          <w:lang w:val="en-US"/>
        </w:rPr>
      </w:pPr>
      <w:r w:rsidRPr="00DF50F4">
        <w:rPr>
          <w:rFonts w:cs="Arial"/>
          <w:spacing w:val="1"/>
          <w:sz w:val="18"/>
          <w:szCs w:val="18"/>
          <w:lang w:val="en-US"/>
        </w:rPr>
        <w:t>All verbal and telephonic arrangements must be confirmed in writing in order to be binding. If the clarification is covered in an e-mail, this is also treated as a condition of being ‘in writing’.</w:t>
      </w:r>
    </w:p>
    <w:p w:rsidR="000B332F" w:rsidRPr="00DF50F4" w:rsidRDefault="000B332F" w:rsidP="000B332F">
      <w:pPr>
        <w:widowControl w:val="0"/>
        <w:autoSpaceDE w:val="0"/>
        <w:autoSpaceDN w:val="0"/>
        <w:adjustRightInd w:val="0"/>
        <w:spacing w:before="4"/>
        <w:ind w:left="408" w:right="281"/>
        <w:rPr>
          <w:rFonts w:cs="Arial"/>
          <w:spacing w:val="1"/>
          <w:sz w:val="18"/>
          <w:szCs w:val="18"/>
          <w:lang w:val="en-US"/>
        </w:rPr>
      </w:pPr>
    </w:p>
    <w:p w:rsidR="000B332F" w:rsidRPr="00DF50F4" w:rsidRDefault="000B332F" w:rsidP="000B332F">
      <w:pPr>
        <w:widowControl w:val="0"/>
        <w:autoSpaceDE w:val="0"/>
        <w:autoSpaceDN w:val="0"/>
        <w:adjustRightInd w:val="0"/>
        <w:spacing w:before="4"/>
        <w:ind w:left="408" w:right="281"/>
        <w:rPr>
          <w:rFonts w:cs="Arial"/>
          <w:spacing w:val="1"/>
          <w:sz w:val="18"/>
          <w:szCs w:val="18"/>
          <w:lang w:val="en-US"/>
        </w:rPr>
      </w:pPr>
    </w:p>
    <w:p w:rsidR="000B332F" w:rsidRDefault="000B332F" w:rsidP="000B332F">
      <w:pPr>
        <w:pStyle w:val="Nadpis1"/>
        <w:pageBreakBefore w:val="0"/>
        <w:numPr>
          <w:ilvl w:val="0"/>
          <w:numId w:val="6"/>
        </w:numPr>
        <w:rPr>
          <w:sz w:val="20"/>
          <w:lang w:val="fr-CH"/>
        </w:rPr>
      </w:pPr>
      <w:bookmarkStart w:id="2" w:name="_Toc528138531"/>
      <w:r w:rsidRPr="000B332F">
        <w:rPr>
          <w:sz w:val="20"/>
          <w:lang w:val="fr-CH"/>
        </w:rPr>
        <w:t>Offers from vendors / Contract termination</w:t>
      </w:r>
      <w:bookmarkEnd w:id="2"/>
      <w:r w:rsidRPr="000B332F">
        <w:rPr>
          <w:sz w:val="20"/>
          <w:lang w:val="fr-CH"/>
        </w:rPr>
        <w:t xml:space="preserve"> </w:t>
      </w:r>
    </w:p>
    <w:p w:rsidR="000B332F" w:rsidRPr="000B332F" w:rsidRDefault="000B332F" w:rsidP="000B332F">
      <w:pPr>
        <w:pStyle w:val="Normlnodsazen"/>
        <w:rPr>
          <w:lang w:val="fr-CH"/>
        </w:rPr>
      </w:pPr>
    </w:p>
    <w:p w:rsidR="000B332F" w:rsidRDefault="000B332F" w:rsidP="000B332F">
      <w:pPr>
        <w:widowControl w:val="0"/>
        <w:autoSpaceDE w:val="0"/>
        <w:autoSpaceDN w:val="0"/>
        <w:adjustRightInd w:val="0"/>
        <w:spacing w:before="4"/>
        <w:ind w:left="408" w:right="281"/>
        <w:rPr>
          <w:rFonts w:cs="Arial"/>
          <w:spacing w:val="1"/>
          <w:sz w:val="18"/>
          <w:szCs w:val="18"/>
          <w:lang w:val="fr-CH"/>
        </w:rPr>
      </w:pPr>
      <w:r w:rsidRPr="000B332F">
        <w:rPr>
          <w:rFonts w:cs="Arial"/>
          <w:spacing w:val="1"/>
          <w:sz w:val="18"/>
          <w:szCs w:val="18"/>
          <w:lang w:val="fr-CH"/>
        </w:rPr>
        <w:t xml:space="preserve">On request it is beseeched of a vendor to present an offer without any costs attached to it. He needs to make his offer in accordance with APAG guidelines and in case of any discrepancies, these need to be explicitly indicated. He is obliged to clarify all factors to APAG that could be of interest in regards to the offer or the offered services. </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Default="000B332F" w:rsidP="000B332F">
      <w:pPr>
        <w:widowControl w:val="0"/>
        <w:autoSpaceDE w:val="0"/>
        <w:autoSpaceDN w:val="0"/>
        <w:adjustRightInd w:val="0"/>
        <w:spacing w:before="4"/>
        <w:ind w:left="408" w:right="281"/>
        <w:rPr>
          <w:rFonts w:cs="Arial"/>
          <w:spacing w:val="1"/>
          <w:sz w:val="18"/>
          <w:szCs w:val="18"/>
          <w:lang w:val="fr-CH"/>
        </w:rPr>
      </w:pPr>
      <w:r w:rsidRPr="00DF50F4">
        <w:rPr>
          <w:rFonts w:cs="Arial"/>
          <w:spacing w:val="1"/>
          <w:sz w:val="18"/>
          <w:szCs w:val="18"/>
          <w:lang w:val="en-US"/>
        </w:rPr>
        <w:t xml:space="preserve">When the vendor does not set any timelines in his offer, the offer is binding for 30days. </w:t>
      </w:r>
      <w:r w:rsidRPr="000B332F">
        <w:rPr>
          <w:rFonts w:cs="Arial"/>
          <w:spacing w:val="1"/>
          <w:sz w:val="18"/>
          <w:szCs w:val="18"/>
          <w:lang w:val="fr-CH"/>
        </w:rPr>
        <w:t xml:space="preserve">The contract materializes when APAG accepts the offer of the vendor within a 30 day duration in writing. Silence at the APAG end about the offer of the vendor is under no circumstances valid as a declaration of acceptance. APAG is under all circumstances free to choose if they want to accept the offer from the vendor or not. If a contract does not get realized, the vendor can under no circumstances claim compensation for expenses or loss of profit/gains.  </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r w:rsidRPr="000B332F">
        <w:rPr>
          <w:rFonts w:cs="Arial"/>
          <w:spacing w:val="1"/>
          <w:sz w:val="18"/>
          <w:szCs w:val="18"/>
          <w:lang w:val="fr-CH"/>
        </w:rPr>
        <w:t xml:space="preserve">APAG reserves the right to annul an order without any costs and penalties latest up to 6 weeks prior to the delivery date (contract termination). Deviating agreements are to be agreed upon in writing.  </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Default="000B332F" w:rsidP="000B332F">
      <w:pPr>
        <w:pStyle w:val="Nadpis1"/>
        <w:pageBreakBefore w:val="0"/>
        <w:numPr>
          <w:ilvl w:val="0"/>
          <w:numId w:val="6"/>
        </w:numPr>
        <w:rPr>
          <w:sz w:val="20"/>
          <w:lang w:val="fr-CH"/>
        </w:rPr>
      </w:pPr>
      <w:bookmarkStart w:id="3" w:name="_Toc528138532"/>
      <w:r w:rsidRPr="000B332F">
        <w:rPr>
          <w:sz w:val="20"/>
          <w:lang w:val="fr-CH"/>
        </w:rPr>
        <w:t>Scope of delivery / Amendments in the scope of delivery.</w:t>
      </w:r>
      <w:bookmarkEnd w:id="3"/>
    </w:p>
    <w:p w:rsidR="000B332F" w:rsidRPr="000B332F" w:rsidRDefault="000B332F" w:rsidP="000B332F">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r w:rsidRPr="000B332F">
        <w:rPr>
          <w:rFonts w:cs="Arial"/>
          <w:spacing w:val="1"/>
          <w:sz w:val="18"/>
          <w:szCs w:val="18"/>
          <w:lang w:val="fr-CH"/>
        </w:rPr>
        <w:t>The vendor is obliged to ensure that he is timely aware of all information necessary for correct execution of his contractual obligations, especially for deliveries intended to be used by APAG for his deliveries.</w:t>
      </w:r>
    </w:p>
    <w:p w:rsidR="000B332F" w:rsidRDefault="000B332F" w:rsidP="000B332F">
      <w:pPr>
        <w:widowControl w:val="0"/>
        <w:autoSpaceDE w:val="0"/>
        <w:autoSpaceDN w:val="0"/>
        <w:adjustRightInd w:val="0"/>
        <w:spacing w:before="4"/>
        <w:ind w:left="408" w:right="281"/>
        <w:rPr>
          <w:rFonts w:cs="Arial"/>
          <w:spacing w:val="1"/>
          <w:sz w:val="18"/>
          <w:szCs w:val="18"/>
          <w:lang w:val="fr-CH"/>
        </w:rPr>
      </w:pPr>
      <w:r w:rsidRPr="000B332F">
        <w:rPr>
          <w:rFonts w:cs="Arial"/>
          <w:spacing w:val="1"/>
          <w:sz w:val="18"/>
          <w:szCs w:val="18"/>
          <w:lang w:val="fr-CH"/>
        </w:rPr>
        <w:t>He vouches for it that (i) his deliveries cover all services (including consultation, documentation etc.) that are necessary for prescribed, safe and commercial use of the delivered products and that (ii) that the products to be delivered are suitable for the intended use and conform to the science and technique as on date. The vendor needs to follow all current standard regulations (laws, technical regulations and norms, standards etc.) for the delivery of services, especially also the relevant regulations for environmental protection, hazard and accident protection at the destination. The vendor needs to educate APAG on the required regulatory approvals and reporting requirements for the import and operation at the destination of the products to be delivered.</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Default="000B332F" w:rsidP="000B332F">
      <w:pPr>
        <w:widowControl w:val="0"/>
        <w:autoSpaceDE w:val="0"/>
        <w:autoSpaceDN w:val="0"/>
        <w:adjustRightInd w:val="0"/>
        <w:ind w:left="408" w:right="278"/>
        <w:rPr>
          <w:rFonts w:cs="Arial"/>
          <w:spacing w:val="1"/>
          <w:sz w:val="18"/>
          <w:szCs w:val="18"/>
          <w:lang w:val="fr-CH"/>
        </w:rPr>
      </w:pPr>
      <w:r w:rsidRPr="000B332F">
        <w:rPr>
          <w:rFonts w:cs="Arial"/>
          <w:sz w:val="18"/>
          <w:szCs w:val="18"/>
          <w:lang w:val="fr-CH"/>
        </w:rPr>
        <w:t>The vendor is obliged to specifically deliver the ordered products and to specifically use the components identified by APAG in case of so called assembling products. A</w:t>
      </w:r>
      <w:r w:rsidRPr="000B332F">
        <w:rPr>
          <w:rFonts w:cs="Arial"/>
          <w:spacing w:val="1"/>
          <w:sz w:val="18"/>
          <w:szCs w:val="18"/>
          <w:lang w:val="fr-CH"/>
        </w:rPr>
        <w:t>l</w:t>
      </w:r>
      <w:r w:rsidRPr="000B332F">
        <w:rPr>
          <w:rFonts w:cs="Arial"/>
          <w:sz w:val="18"/>
          <w:szCs w:val="18"/>
          <w:lang w:val="fr-CH"/>
        </w:rPr>
        <w:t>t</w:t>
      </w:r>
      <w:r w:rsidRPr="000B332F">
        <w:rPr>
          <w:rFonts w:cs="Arial"/>
          <w:spacing w:val="1"/>
          <w:sz w:val="18"/>
          <w:szCs w:val="18"/>
          <w:lang w:val="fr-CH"/>
        </w:rPr>
        <w:t>e</w:t>
      </w:r>
      <w:r w:rsidRPr="000B332F">
        <w:rPr>
          <w:rFonts w:cs="Arial"/>
          <w:sz w:val="18"/>
          <w:szCs w:val="18"/>
          <w:lang w:val="fr-CH"/>
        </w:rPr>
        <w:t>r</w:t>
      </w:r>
      <w:r w:rsidRPr="000B332F">
        <w:rPr>
          <w:rFonts w:cs="Arial"/>
          <w:spacing w:val="1"/>
          <w:sz w:val="18"/>
          <w:szCs w:val="18"/>
          <w:lang w:val="fr-CH"/>
        </w:rPr>
        <w:t>n</w:t>
      </w:r>
      <w:r w:rsidRPr="000B332F">
        <w:rPr>
          <w:rFonts w:cs="Arial"/>
          <w:spacing w:val="-2"/>
          <w:sz w:val="18"/>
          <w:szCs w:val="18"/>
          <w:lang w:val="fr-CH"/>
        </w:rPr>
        <w:t>a</w:t>
      </w:r>
      <w:r w:rsidRPr="000B332F">
        <w:rPr>
          <w:rFonts w:cs="Arial"/>
          <w:sz w:val="18"/>
          <w:szCs w:val="18"/>
          <w:lang w:val="fr-CH"/>
        </w:rPr>
        <w:t>t</w:t>
      </w:r>
      <w:r w:rsidRPr="000B332F">
        <w:rPr>
          <w:rFonts w:cs="Arial"/>
          <w:spacing w:val="1"/>
          <w:sz w:val="18"/>
          <w:szCs w:val="18"/>
          <w:lang w:val="fr-CH"/>
        </w:rPr>
        <w:t>i</w:t>
      </w:r>
      <w:r w:rsidRPr="000B332F">
        <w:rPr>
          <w:rFonts w:cs="Arial"/>
          <w:spacing w:val="-1"/>
          <w:sz w:val="18"/>
          <w:szCs w:val="18"/>
          <w:lang w:val="fr-CH"/>
        </w:rPr>
        <w:t>ve p</w:t>
      </w:r>
      <w:r w:rsidRPr="000B332F">
        <w:rPr>
          <w:rFonts w:cs="Arial"/>
          <w:sz w:val="18"/>
          <w:szCs w:val="18"/>
          <w:lang w:val="fr-CH"/>
        </w:rPr>
        <w:t>r</w:t>
      </w:r>
      <w:r w:rsidRPr="000B332F">
        <w:rPr>
          <w:rFonts w:cs="Arial"/>
          <w:spacing w:val="1"/>
          <w:sz w:val="18"/>
          <w:szCs w:val="18"/>
          <w:lang w:val="fr-CH"/>
        </w:rPr>
        <w:t>od</w:t>
      </w:r>
      <w:r w:rsidRPr="000B332F">
        <w:rPr>
          <w:rFonts w:cs="Arial"/>
          <w:spacing w:val="-2"/>
          <w:sz w:val="18"/>
          <w:szCs w:val="18"/>
          <w:lang w:val="fr-CH"/>
        </w:rPr>
        <w:t>u</w:t>
      </w:r>
      <w:r w:rsidRPr="000B332F">
        <w:rPr>
          <w:rFonts w:cs="Arial"/>
          <w:spacing w:val="1"/>
          <w:sz w:val="18"/>
          <w:szCs w:val="18"/>
          <w:lang w:val="fr-CH"/>
        </w:rPr>
        <w:t>c</w:t>
      </w:r>
      <w:r w:rsidRPr="000B332F">
        <w:rPr>
          <w:rFonts w:cs="Arial"/>
          <w:sz w:val="18"/>
          <w:szCs w:val="18"/>
          <w:lang w:val="fr-CH"/>
        </w:rPr>
        <w:t>ts</w:t>
      </w:r>
      <w:r w:rsidRPr="000B332F">
        <w:rPr>
          <w:rFonts w:ascii="Times New Roman" w:hAnsi="Times New Roman"/>
          <w:spacing w:val="3"/>
          <w:sz w:val="18"/>
          <w:szCs w:val="18"/>
          <w:lang w:val="fr-CH"/>
        </w:rPr>
        <w:t xml:space="preserve"> </w:t>
      </w:r>
      <w:r w:rsidRPr="000B332F">
        <w:rPr>
          <w:rFonts w:cs="Arial"/>
          <w:sz w:val="18"/>
          <w:szCs w:val="18"/>
          <w:lang w:val="fr-CH"/>
        </w:rPr>
        <w:t>(</w:t>
      </w:r>
      <w:r w:rsidRPr="000B332F">
        <w:rPr>
          <w:rFonts w:cs="Arial"/>
          <w:spacing w:val="-1"/>
          <w:sz w:val="18"/>
          <w:szCs w:val="18"/>
          <w:lang w:val="fr-CH"/>
        </w:rPr>
        <w:t>s</w:t>
      </w:r>
      <w:r w:rsidRPr="000B332F">
        <w:rPr>
          <w:rFonts w:cs="Arial"/>
          <w:spacing w:val="1"/>
          <w:sz w:val="18"/>
          <w:szCs w:val="18"/>
          <w:lang w:val="fr-CH"/>
        </w:rPr>
        <w:t>ec</w:t>
      </w:r>
      <w:r w:rsidRPr="000B332F">
        <w:rPr>
          <w:rFonts w:cs="Arial"/>
          <w:spacing w:val="-1"/>
          <w:sz w:val="18"/>
          <w:szCs w:val="18"/>
          <w:lang w:val="fr-CH"/>
        </w:rPr>
        <w:t>o</w:t>
      </w:r>
      <w:r w:rsidRPr="000B332F">
        <w:rPr>
          <w:rFonts w:cs="Arial"/>
          <w:spacing w:val="-2"/>
          <w:sz w:val="18"/>
          <w:szCs w:val="18"/>
          <w:lang w:val="fr-CH"/>
        </w:rPr>
        <w:t>n</w:t>
      </w:r>
      <w:r w:rsidRPr="000B332F">
        <w:rPr>
          <w:rFonts w:cs="Arial"/>
          <w:sz w:val="18"/>
          <w:szCs w:val="18"/>
          <w:lang w:val="fr-CH"/>
        </w:rPr>
        <w:t>d</w:t>
      </w:r>
      <w:r w:rsidRPr="000B332F">
        <w:rPr>
          <w:rFonts w:ascii="Times New Roman" w:hAnsi="Times New Roman"/>
          <w:sz w:val="18"/>
          <w:szCs w:val="18"/>
          <w:lang w:val="fr-CH"/>
        </w:rPr>
        <w:t xml:space="preserve"> </w:t>
      </w:r>
      <w:r w:rsidRPr="000B332F">
        <w:rPr>
          <w:rFonts w:cs="Arial"/>
          <w:spacing w:val="1"/>
          <w:sz w:val="18"/>
          <w:szCs w:val="18"/>
          <w:lang w:val="fr-CH"/>
        </w:rPr>
        <w:t>sou</w:t>
      </w:r>
      <w:r w:rsidRPr="000B332F">
        <w:rPr>
          <w:rFonts w:cs="Arial"/>
          <w:spacing w:val="-2"/>
          <w:sz w:val="18"/>
          <w:szCs w:val="18"/>
          <w:lang w:val="fr-CH"/>
        </w:rPr>
        <w:t>r</w:t>
      </w:r>
      <w:r w:rsidRPr="000B332F">
        <w:rPr>
          <w:rFonts w:cs="Arial"/>
          <w:spacing w:val="1"/>
          <w:sz w:val="18"/>
          <w:szCs w:val="18"/>
          <w:lang w:val="fr-CH"/>
        </w:rPr>
        <w:t>ces</w:t>
      </w:r>
      <w:r w:rsidRPr="000B332F">
        <w:rPr>
          <w:rFonts w:cs="Arial"/>
          <w:sz w:val="18"/>
          <w:szCs w:val="18"/>
          <w:lang w:val="fr-CH"/>
        </w:rPr>
        <w:t>)</w:t>
      </w:r>
      <w:r w:rsidRPr="000B332F">
        <w:rPr>
          <w:rFonts w:ascii="Times New Roman" w:hAnsi="Times New Roman"/>
          <w:spacing w:val="2"/>
          <w:sz w:val="18"/>
          <w:szCs w:val="18"/>
          <w:lang w:val="fr-CH"/>
        </w:rPr>
        <w:t xml:space="preserve"> </w:t>
      </w:r>
      <w:r w:rsidRPr="000B332F">
        <w:rPr>
          <w:rFonts w:cs="Arial"/>
          <w:spacing w:val="-2"/>
          <w:sz w:val="18"/>
          <w:szCs w:val="18"/>
          <w:lang w:val="fr-CH"/>
        </w:rPr>
        <w:t xml:space="preserve">require a prior written approval from </w:t>
      </w:r>
      <w:r w:rsidRPr="000B332F">
        <w:rPr>
          <w:rFonts w:cs="Arial"/>
          <w:sz w:val="18"/>
          <w:szCs w:val="18"/>
          <w:lang w:val="fr-CH"/>
        </w:rPr>
        <w:t>APA</w:t>
      </w:r>
      <w:r w:rsidRPr="000B332F">
        <w:rPr>
          <w:rFonts w:cs="Arial"/>
          <w:spacing w:val="-1"/>
          <w:sz w:val="18"/>
          <w:szCs w:val="18"/>
          <w:lang w:val="fr-CH"/>
        </w:rPr>
        <w:t>G</w:t>
      </w:r>
      <w:r w:rsidRPr="000B332F">
        <w:rPr>
          <w:rFonts w:cs="Arial"/>
          <w:sz w:val="18"/>
          <w:szCs w:val="18"/>
          <w:lang w:val="fr-CH"/>
        </w:rPr>
        <w:t>.</w:t>
      </w:r>
      <w:r w:rsidRPr="000B332F">
        <w:rPr>
          <w:rFonts w:ascii="Times New Roman" w:hAnsi="Times New Roman"/>
          <w:spacing w:val="2"/>
          <w:sz w:val="18"/>
          <w:szCs w:val="18"/>
          <w:lang w:val="fr-CH"/>
        </w:rPr>
        <w:t xml:space="preserve"> </w:t>
      </w:r>
      <w:r w:rsidRPr="000B332F">
        <w:rPr>
          <w:rFonts w:cs="Arial"/>
          <w:spacing w:val="1"/>
          <w:sz w:val="18"/>
          <w:szCs w:val="18"/>
          <w:lang w:val="fr-CH"/>
        </w:rPr>
        <w:t xml:space="preserve">Should the vendor deliver alternative products without a prior written approval from APAG, the vendor is fully liable to incur all consequential damages/losses and in fact irrespective if the alternative products were noticeable or not for APAG during inspections at the time of stock receipt or at the time of processing (refer point 9.1) </w:t>
      </w:r>
    </w:p>
    <w:p w:rsidR="000B332F" w:rsidRPr="000B332F" w:rsidRDefault="000B332F" w:rsidP="000B332F">
      <w:pPr>
        <w:widowControl w:val="0"/>
        <w:autoSpaceDE w:val="0"/>
        <w:autoSpaceDN w:val="0"/>
        <w:adjustRightInd w:val="0"/>
        <w:ind w:left="408" w:right="278"/>
        <w:rPr>
          <w:rFonts w:cs="Arial"/>
          <w:spacing w:val="1"/>
          <w:sz w:val="18"/>
          <w:szCs w:val="18"/>
          <w:lang w:val="fr-CH"/>
        </w:rPr>
      </w:pPr>
    </w:p>
    <w:p w:rsidR="000B332F" w:rsidRDefault="000B332F" w:rsidP="000B332F">
      <w:pPr>
        <w:widowControl w:val="0"/>
        <w:autoSpaceDE w:val="0"/>
        <w:autoSpaceDN w:val="0"/>
        <w:adjustRightInd w:val="0"/>
        <w:spacing w:before="37"/>
        <w:ind w:left="408" w:right="281"/>
        <w:rPr>
          <w:rFonts w:cs="Arial"/>
          <w:spacing w:val="1"/>
          <w:sz w:val="18"/>
          <w:szCs w:val="18"/>
          <w:lang w:val="fr-CH"/>
        </w:rPr>
      </w:pPr>
      <w:r w:rsidRPr="000B332F">
        <w:rPr>
          <w:rFonts w:cs="Arial"/>
          <w:sz w:val="18"/>
          <w:szCs w:val="18"/>
          <w:lang w:val="fr-CH"/>
        </w:rPr>
        <w:t>APAG</w:t>
      </w:r>
      <w:r w:rsidRPr="000B332F">
        <w:rPr>
          <w:rFonts w:ascii="Times New Roman" w:hAnsi="Times New Roman"/>
          <w:spacing w:val="12"/>
          <w:sz w:val="18"/>
          <w:szCs w:val="18"/>
          <w:lang w:val="fr-CH"/>
        </w:rPr>
        <w:t xml:space="preserve"> </w:t>
      </w:r>
      <w:r w:rsidRPr="000B332F">
        <w:rPr>
          <w:rFonts w:cs="Arial"/>
          <w:spacing w:val="1"/>
          <w:sz w:val="18"/>
          <w:szCs w:val="18"/>
          <w:lang w:val="fr-CH"/>
        </w:rPr>
        <w:t>can within reason ask the vendor for amendments in the construction and execution of the products to be delivered.</w:t>
      </w:r>
      <w:r w:rsidRPr="000B332F">
        <w:rPr>
          <w:rFonts w:ascii="Times New Roman" w:hAnsi="Times New Roman"/>
          <w:spacing w:val="17"/>
          <w:sz w:val="18"/>
          <w:szCs w:val="18"/>
          <w:lang w:val="fr-CH"/>
        </w:rPr>
        <w:t xml:space="preserve"> </w:t>
      </w:r>
      <w:r w:rsidRPr="000B332F">
        <w:rPr>
          <w:rFonts w:cs="Arial"/>
          <w:sz w:val="18"/>
          <w:szCs w:val="18"/>
          <w:lang w:val="fr-CH"/>
        </w:rPr>
        <w:t>The vendor would need to implement these within a reasonable time frame. Mutually just arrangements are to be</w:t>
      </w:r>
      <w:r>
        <w:rPr>
          <w:rFonts w:cs="Arial"/>
          <w:sz w:val="18"/>
          <w:szCs w:val="18"/>
          <w:lang w:val="fr-CH"/>
        </w:rPr>
        <w:t xml:space="preserve"> striked for the implications,</w:t>
      </w:r>
      <w:r w:rsidRPr="000B332F">
        <w:rPr>
          <w:rFonts w:cs="Arial"/>
          <w:spacing w:val="1"/>
          <w:sz w:val="18"/>
          <w:szCs w:val="18"/>
          <w:lang w:val="fr-CH"/>
        </w:rPr>
        <w:t xml:space="preserve"> especially for the overruns and minimum costs as well as the delivery deadlines.  </w:t>
      </w:r>
    </w:p>
    <w:p w:rsidR="000B332F" w:rsidRPr="000B332F" w:rsidRDefault="000B332F" w:rsidP="000B332F">
      <w:pPr>
        <w:widowControl w:val="0"/>
        <w:autoSpaceDE w:val="0"/>
        <w:autoSpaceDN w:val="0"/>
        <w:adjustRightInd w:val="0"/>
        <w:spacing w:before="37"/>
        <w:ind w:left="408" w:right="281"/>
        <w:rPr>
          <w:rFonts w:cs="Arial"/>
          <w:sz w:val="18"/>
          <w:szCs w:val="18"/>
          <w:lang w:val="fr-CH"/>
        </w:rPr>
      </w:pPr>
    </w:p>
    <w:p w:rsidR="000B332F" w:rsidRPr="000B332F" w:rsidRDefault="000B332F" w:rsidP="000B332F">
      <w:pPr>
        <w:widowControl w:val="0"/>
        <w:autoSpaceDE w:val="0"/>
        <w:autoSpaceDN w:val="0"/>
        <w:adjustRightInd w:val="0"/>
        <w:spacing w:line="206" w:lineRule="exact"/>
        <w:ind w:left="408" w:right="278"/>
        <w:rPr>
          <w:rFonts w:cs="Arial"/>
          <w:sz w:val="18"/>
          <w:szCs w:val="18"/>
          <w:lang w:val="fr-CH"/>
        </w:rPr>
      </w:pPr>
      <w:r w:rsidRPr="000B332F">
        <w:rPr>
          <w:rFonts w:cs="Arial"/>
          <w:sz w:val="18"/>
          <w:szCs w:val="18"/>
          <w:lang w:val="fr-CH"/>
        </w:rPr>
        <w:t xml:space="preserve">The vendor makes sure that he is able to supply products that are yet to be delivered or have been delivered for a time period of 15 years after the last order at reasonable terms or parts of it as spare parts.  </w:t>
      </w:r>
    </w:p>
    <w:p w:rsidR="000B332F" w:rsidRPr="000B332F" w:rsidRDefault="000B332F" w:rsidP="000B332F">
      <w:pPr>
        <w:widowControl w:val="0"/>
        <w:autoSpaceDE w:val="0"/>
        <w:autoSpaceDN w:val="0"/>
        <w:adjustRightInd w:val="0"/>
        <w:spacing w:line="200" w:lineRule="exact"/>
        <w:rPr>
          <w:rFonts w:cs="Arial"/>
          <w:sz w:val="20"/>
          <w:lang w:val="fr-CH"/>
        </w:rPr>
      </w:pPr>
    </w:p>
    <w:p w:rsidR="000B332F" w:rsidRDefault="000B332F" w:rsidP="000B332F">
      <w:pPr>
        <w:pStyle w:val="Nadpis1"/>
        <w:pageBreakBefore w:val="0"/>
        <w:numPr>
          <w:ilvl w:val="0"/>
          <w:numId w:val="6"/>
        </w:numPr>
        <w:rPr>
          <w:sz w:val="20"/>
          <w:lang w:val="fr-CH"/>
        </w:rPr>
      </w:pPr>
      <w:bookmarkStart w:id="4" w:name="_Toc528138533"/>
      <w:r w:rsidRPr="000B332F">
        <w:rPr>
          <w:sz w:val="20"/>
          <w:lang w:val="fr-CH"/>
        </w:rPr>
        <w:lastRenderedPageBreak/>
        <w:t>Price / Payment terms</w:t>
      </w:r>
      <w:bookmarkEnd w:id="4"/>
      <w:r w:rsidRPr="000B332F">
        <w:rPr>
          <w:sz w:val="20"/>
          <w:lang w:val="fr-CH"/>
        </w:rPr>
        <w:t xml:space="preserve">  </w:t>
      </w:r>
    </w:p>
    <w:p w:rsidR="000B332F" w:rsidRPr="000B332F" w:rsidRDefault="000B332F" w:rsidP="000B332F">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r w:rsidRPr="00647141">
        <w:rPr>
          <w:rFonts w:cs="Arial"/>
          <w:sz w:val="18"/>
          <w:szCs w:val="18"/>
          <w:lang w:val="fr-CH"/>
        </w:rPr>
        <w:t xml:space="preserve">The prices agreed upon are considered final and cannot be increased without agreement from APAG even in case the circumstances change, even if these are </w:t>
      </w:r>
      <w:r w:rsidRPr="00647141">
        <w:rPr>
          <w:rFonts w:cs="Arial"/>
          <w:spacing w:val="1"/>
          <w:sz w:val="18"/>
          <w:szCs w:val="18"/>
          <w:lang w:val="fr-CH"/>
        </w:rPr>
        <w:t xml:space="preserve">unforeseen. </w:t>
      </w:r>
      <w:r w:rsidRPr="000B332F">
        <w:rPr>
          <w:rFonts w:cs="Arial"/>
          <w:spacing w:val="1"/>
          <w:sz w:val="18"/>
          <w:szCs w:val="18"/>
          <w:lang w:val="fr-CH"/>
        </w:rPr>
        <w:t>Subject to an explicitly different arrangement, the prices cover costs especially associated with the transport and provisions attached to the products to be delivered (like packing, transport costs, insurance, entry or exit taxation, costs attached to quality assessment, conformity assessment, enrollment, approval and certification procedures etc.)</w:t>
      </w:r>
    </w:p>
    <w:p w:rsidR="000B332F" w:rsidRPr="000B332F" w:rsidRDefault="000B332F" w:rsidP="000B332F">
      <w:pPr>
        <w:widowControl w:val="0"/>
        <w:autoSpaceDE w:val="0"/>
        <w:autoSpaceDN w:val="0"/>
        <w:adjustRightInd w:val="0"/>
        <w:spacing w:before="4"/>
        <w:ind w:left="408" w:right="281"/>
        <w:rPr>
          <w:rFonts w:cs="Arial"/>
          <w:spacing w:val="1"/>
          <w:sz w:val="18"/>
          <w:szCs w:val="18"/>
          <w:lang w:val="fr-CH"/>
        </w:rPr>
      </w:pP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r w:rsidRPr="000B332F">
        <w:rPr>
          <w:rFonts w:cs="Arial"/>
          <w:spacing w:val="1"/>
          <w:sz w:val="18"/>
          <w:szCs w:val="18"/>
          <w:lang w:val="fr-CH"/>
        </w:rPr>
        <w:t xml:space="preserve">In case nothing else is agreed upon, the payment follows within 2 weeks with a 3% pre-payment discount, within 1 month with a 2% pre-payment discount or within 3 months without any deductions. The time frame begins with the receipt of delivery in accordance with the contract and correct verifiable invoice. In case of an early delivery the time frame starts however earliest with the delivery date agreed upon. </w:t>
      </w:r>
    </w:p>
    <w:p w:rsidR="000B332F" w:rsidRPr="000B332F" w:rsidRDefault="000B332F" w:rsidP="000B332F">
      <w:pPr>
        <w:widowControl w:val="0"/>
        <w:autoSpaceDE w:val="0"/>
        <w:autoSpaceDN w:val="0"/>
        <w:adjustRightInd w:val="0"/>
        <w:spacing w:before="9" w:line="200" w:lineRule="exact"/>
        <w:rPr>
          <w:rFonts w:cs="Arial"/>
          <w:sz w:val="20"/>
          <w:lang w:val="fr-CH"/>
        </w:rPr>
      </w:pPr>
    </w:p>
    <w:p w:rsidR="000B332F" w:rsidRPr="000B332F" w:rsidRDefault="000B332F" w:rsidP="000B332F">
      <w:pPr>
        <w:widowControl w:val="0"/>
        <w:autoSpaceDE w:val="0"/>
        <w:autoSpaceDN w:val="0"/>
        <w:adjustRightInd w:val="0"/>
        <w:spacing w:line="206" w:lineRule="exact"/>
        <w:ind w:left="408" w:right="278"/>
        <w:rPr>
          <w:rFonts w:cs="Arial"/>
          <w:sz w:val="18"/>
          <w:szCs w:val="18"/>
          <w:lang w:val="fr-CH"/>
        </w:rPr>
      </w:pPr>
      <w:r w:rsidRPr="000B332F">
        <w:rPr>
          <w:rFonts w:cs="Arial"/>
          <w:sz w:val="18"/>
          <w:szCs w:val="18"/>
          <w:lang w:val="fr-CH"/>
        </w:rPr>
        <w:t>Invoices are to be submitted in a simple coy specifying the unloading point, vendor number, vendor article number, factory/manufacturer, factory/manufacturer article number, date-code, R</w:t>
      </w:r>
      <w:r w:rsidRPr="000B332F">
        <w:rPr>
          <w:rFonts w:cs="Arial"/>
          <w:spacing w:val="1"/>
          <w:sz w:val="18"/>
          <w:szCs w:val="18"/>
          <w:lang w:val="fr-CH"/>
        </w:rPr>
        <w:t>o</w:t>
      </w:r>
      <w:r w:rsidRPr="000B332F">
        <w:rPr>
          <w:rFonts w:cs="Arial"/>
          <w:sz w:val="18"/>
          <w:szCs w:val="18"/>
          <w:lang w:val="fr-CH"/>
        </w:rPr>
        <w:t>HS/N</w:t>
      </w:r>
      <w:r w:rsidRPr="000B332F">
        <w:rPr>
          <w:rFonts w:cs="Arial"/>
          <w:spacing w:val="1"/>
          <w:sz w:val="18"/>
          <w:szCs w:val="18"/>
          <w:lang w:val="fr-CH"/>
        </w:rPr>
        <w:t>on</w:t>
      </w:r>
      <w:r w:rsidRPr="000B332F">
        <w:rPr>
          <w:rFonts w:cs="Arial"/>
          <w:sz w:val="18"/>
          <w:szCs w:val="18"/>
          <w:lang w:val="fr-CH"/>
        </w:rPr>
        <w:t>-R</w:t>
      </w:r>
      <w:r w:rsidRPr="000B332F">
        <w:rPr>
          <w:rFonts w:cs="Arial"/>
          <w:spacing w:val="1"/>
          <w:sz w:val="18"/>
          <w:szCs w:val="18"/>
          <w:lang w:val="fr-CH"/>
        </w:rPr>
        <w:t>o</w:t>
      </w:r>
      <w:r w:rsidRPr="000B332F">
        <w:rPr>
          <w:rFonts w:cs="Arial"/>
          <w:sz w:val="18"/>
          <w:szCs w:val="18"/>
          <w:lang w:val="fr-CH"/>
        </w:rPr>
        <w:t xml:space="preserve">HS confirmation, tax tariff number, origin, preference eligibility, delivery quanitity and unit price. </w:t>
      </w:r>
    </w:p>
    <w:p w:rsidR="000B332F" w:rsidRPr="000B332F" w:rsidRDefault="000B332F" w:rsidP="000B332F">
      <w:pPr>
        <w:widowControl w:val="0"/>
        <w:autoSpaceDE w:val="0"/>
        <w:autoSpaceDN w:val="0"/>
        <w:adjustRightInd w:val="0"/>
        <w:spacing w:line="206" w:lineRule="exact"/>
        <w:ind w:left="408" w:right="278"/>
        <w:rPr>
          <w:rFonts w:cs="Arial"/>
          <w:sz w:val="18"/>
          <w:szCs w:val="18"/>
          <w:lang w:val="fr-CH"/>
        </w:rPr>
      </w:pP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r w:rsidRPr="000B332F">
        <w:rPr>
          <w:rFonts w:cs="Arial"/>
          <w:sz w:val="18"/>
          <w:szCs w:val="18"/>
          <w:lang w:val="fr-CH"/>
        </w:rPr>
        <w:t>For delivery errors, APAG is entitled to stop payment till correct delivery. Also, as per point 9 hereafter, payment is not a confirmation of correct delivery or guarantee waiver.</w:t>
      </w: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r w:rsidRPr="000B332F">
        <w:rPr>
          <w:rFonts w:cs="Arial"/>
          <w:sz w:val="18"/>
          <w:szCs w:val="18"/>
          <w:lang w:val="fr-CH"/>
        </w:rPr>
        <w:t>APAG reseves the right to choose the mode of payment (transfer, cheque etc.).</w:t>
      </w:r>
    </w:p>
    <w:p w:rsidR="000B332F" w:rsidRPr="000B332F" w:rsidRDefault="000B332F" w:rsidP="000B332F">
      <w:pPr>
        <w:widowControl w:val="0"/>
        <w:autoSpaceDE w:val="0"/>
        <w:autoSpaceDN w:val="0"/>
        <w:adjustRightInd w:val="0"/>
        <w:spacing w:before="8" w:line="200" w:lineRule="exact"/>
        <w:rPr>
          <w:rFonts w:cs="Arial"/>
          <w:sz w:val="20"/>
          <w:lang w:val="fr-CH"/>
        </w:rPr>
      </w:pP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r w:rsidRPr="000B332F">
        <w:rPr>
          <w:rFonts w:cs="Arial"/>
          <w:sz w:val="18"/>
          <w:szCs w:val="18"/>
          <w:lang w:val="fr-CH"/>
        </w:rPr>
        <w:t>The vendor is not authorized to transfer or collect through a third party claims that are due towards APAG.</w:t>
      </w: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p>
    <w:p w:rsidR="000B332F" w:rsidRDefault="000B332F" w:rsidP="00647141">
      <w:pPr>
        <w:pStyle w:val="Nadpis1"/>
        <w:pageBreakBefore w:val="0"/>
        <w:numPr>
          <w:ilvl w:val="0"/>
          <w:numId w:val="6"/>
        </w:numPr>
        <w:rPr>
          <w:sz w:val="20"/>
          <w:lang w:val="de-CH"/>
        </w:rPr>
      </w:pPr>
      <w:bookmarkStart w:id="5" w:name="_Toc528138534"/>
      <w:proofErr w:type="spellStart"/>
      <w:r w:rsidRPr="00647141">
        <w:rPr>
          <w:sz w:val="20"/>
          <w:lang w:val="de-CH"/>
        </w:rPr>
        <w:t>Delivery</w:t>
      </w:r>
      <w:proofErr w:type="spellEnd"/>
      <w:r w:rsidRPr="00647141">
        <w:rPr>
          <w:sz w:val="20"/>
          <w:lang w:val="de-CH"/>
        </w:rPr>
        <w:t xml:space="preserve"> </w:t>
      </w:r>
      <w:proofErr w:type="spellStart"/>
      <w:r w:rsidRPr="00647141">
        <w:rPr>
          <w:sz w:val="20"/>
          <w:lang w:val="de-CH"/>
        </w:rPr>
        <w:t>deadline</w:t>
      </w:r>
      <w:proofErr w:type="spellEnd"/>
      <w:r w:rsidRPr="00647141">
        <w:rPr>
          <w:sz w:val="20"/>
          <w:lang w:val="de-CH"/>
        </w:rPr>
        <w:t xml:space="preserve"> and </w:t>
      </w:r>
      <w:proofErr w:type="spellStart"/>
      <w:r w:rsidRPr="00647141">
        <w:rPr>
          <w:sz w:val="20"/>
          <w:lang w:val="de-CH"/>
        </w:rPr>
        <w:t>term</w:t>
      </w:r>
      <w:proofErr w:type="spellEnd"/>
      <w:r w:rsidRPr="00647141">
        <w:rPr>
          <w:sz w:val="20"/>
          <w:lang w:val="de-CH"/>
        </w:rPr>
        <w:t xml:space="preserve"> / </w:t>
      </w:r>
      <w:proofErr w:type="spellStart"/>
      <w:r w:rsidRPr="00647141">
        <w:rPr>
          <w:sz w:val="20"/>
          <w:lang w:val="de-CH"/>
        </w:rPr>
        <w:t>delay</w:t>
      </w:r>
      <w:bookmarkEnd w:id="5"/>
      <w:proofErr w:type="spellEnd"/>
    </w:p>
    <w:p w:rsidR="00647141" w:rsidRPr="00647141" w:rsidRDefault="00647141" w:rsidP="00647141">
      <w:pPr>
        <w:pStyle w:val="Normlnodsazen"/>
        <w:rPr>
          <w:lang w:val="de-CH"/>
        </w:rPr>
      </w:pPr>
    </w:p>
    <w:p w:rsidR="000B332F" w:rsidRPr="000B332F" w:rsidRDefault="000B332F" w:rsidP="000B332F">
      <w:pPr>
        <w:widowControl w:val="0"/>
        <w:autoSpaceDE w:val="0"/>
        <w:autoSpaceDN w:val="0"/>
        <w:adjustRightInd w:val="0"/>
        <w:spacing w:before="4"/>
        <w:ind w:left="408" w:right="280"/>
        <w:rPr>
          <w:rFonts w:cs="Arial"/>
          <w:sz w:val="18"/>
          <w:szCs w:val="18"/>
          <w:lang w:val="fr-CH"/>
        </w:rPr>
      </w:pPr>
      <w:r w:rsidRPr="000B332F">
        <w:rPr>
          <w:rFonts w:cs="Arial"/>
          <w:sz w:val="18"/>
          <w:szCs w:val="18"/>
          <w:lang w:val="fr-CH"/>
        </w:rPr>
        <w:t>Delivery dates agreed upon or delivery periods (terms) are binding. Entry of the delivery at the destination is considered as the standard compliance of the delivery date or delivery time period. With non compliance of the delivery date or delivery duration, the vendor automatically and without prior notice is delayed.</w:t>
      </w:r>
    </w:p>
    <w:p w:rsidR="000B332F" w:rsidRPr="000B332F" w:rsidRDefault="000B332F" w:rsidP="000B332F">
      <w:pPr>
        <w:widowControl w:val="0"/>
        <w:autoSpaceDE w:val="0"/>
        <w:autoSpaceDN w:val="0"/>
        <w:adjustRightInd w:val="0"/>
        <w:spacing w:before="4"/>
        <w:ind w:left="408" w:right="280"/>
        <w:rPr>
          <w:rFonts w:cs="Arial"/>
          <w:sz w:val="18"/>
          <w:szCs w:val="18"/>
          <w:lang w:val="fr-CH"/>
        </w:rPr>
      </w:pPr>
    </w:p>
    <w:p w:rsidR="000B332F" w:rsidRPr="000B332F" w:rsidRDefault="000B332F" w:rsidP="000B332F">
      <w:pPr>
        <w:widowControl w:val="0"/>
        <w:autoSpaceDE w:val="0"/>
        <w:autoSpaceDN w:val="0"/>
        <w:adjustRightInd w:val="0"/>
        <w:spacing w:before="4"/>
        <w:ind w:left="408" w:right="280"/>
        <w:rPr>
          <w:rFonts w:cs="Arial"/>
          <w:sz w:val="18"/>
          <w:szCs w:val="18"/>
          <w:lang w:val="fr-CH"/>
        </w:rPr>
      </w:pPr>
      <w:r w:rsidRPr="000B332F">
        <w:rPr>
          <w:rFonts w:cs="Arial"/>
          <w:sz w:val="18"/>
          <w:szCs w:val="18"/>
          <w:lang w:val="fr-CH"/>
        </w:rPr>
        <w:t>Should the vendor know that the delivery date or delivery time period cannot be maintained, he is expected to notify APAG immediately in writing, stating the reasons and the anticipated duration of delay.</w:t>
      </w:r>
    </w:p>
    <w:p w:rsidR="000B332F" w:rsidRPr="000B332F" w:rsidRDefault="000B332F" w:rsidP="000B332F">
      <w:pPr>
        <w:widowControl w:val="0"/>
        <w:autoSpaceDE w:val="0"/>
        <w:autoSpaceDN w:val="0"/>
        <w:adjustRightInd w:val="0"/>
        <w:spacing w:before="5" w:line="200" w:lineRule="exact"/>
        <w:rPr>
          <w:rFonts w:cs="Arial"/>
          <w:sz w:val="20"/>
          <w:lang w:val="fr-CH"/>
        </w:rPr>
      </w:pPr>
    </w:p>
    <w:p w:rsidR="000B332F" w:rsidRPr="000B332F" w:rsidRDefault="000B332F" w:rsidP="000B332F">
      <w:pPr>
        <w:widowControl w:val="0"/>
        <w:autoSpaceDE w:val="0"/>
        <w:autoSpaceDN w:val="0"/>
        <w:adjustRightInd w:val="0"/>
        <w:spacing w:line="239" w:lineRule="auto"/>
        <w:ind w:left="408" w:right="280"/>
        <w:rPr>
          <w:rFonts w:cs="Arial"/>
          <w:sz w:val="18"/>
          <w:szCs w:val="18"/>
          <w:lang w:val="fr-CH"/>
        </w:rPr>
      </w:pPr>
      <w:r w:rsidRPr="000B332F">
        <w:rPr>
          <w:rFonts w:cs="Arial"/>
          <w:sz w:val="18"/>
          <w:szCs w:val="18"/>
          <w:lang w:val="fr-CH"/>
        </w:rPr>
        <w:t xml:space="preserve">Should the vendor be delayed without fixing a renewed deadline in advance, APAG is authorized to refuse to accept delivery. Instead, APAG could also allow the delivery. The presumption of Art. 190 paragraph 1 OR is not applicable. Irrespective whether APAG allows or refuses the (subsequent) delivery, the vendor is liable to compensate for any losses due to the delay even if the vendor is not responsible for the delay. APAG reserves the same rights when the vendor is not already delayed but anticipates with almost certainly that the delivery date or delivery duration will not be maintained. </w:t>
      </w:r>
    </w:p>
    <w:p w:rsidR="000B332F" w:rsidRPr="000B332F" w:rsidRDefault="000B332F" w:rsidP="000B332F">
      <w:pPr>
        <w:widowControl w:val="0"/>
        <w:autoSpaceDE w:val="0"/>
        <w:autoSpaceDN w:val="0"/>
        <w:adjustRightInd w:val="0"/>
        <w:spacing w:line="239" w:lineRule="auto"/>
        <w:ind w:left="408" w:right="280"/>
        <w:rPr>
          <w:rFonts w:cs="Arial"/>
          <w:sz w:val="18"/>
          <w:szCs w:val="18"/>
          <w:lang w:val="fr-CH"/>
        </w:rPr>
      </w:pPr>
    </w:p>
    <w:p w:rsidR="000B332F" w:rsidRPr="000B332F" w:rsidRDefault="000B332F" w:rsidP="000B332F">
      <w:pPr>
        <w:widowControl w:val="0"/>
        <w:autoSpaceDE w:val="0"/>
        <w:autoSpaceDN w:val="0"/>
        <w:adjustRightInd w:val="0"/>
        <w:spacing w:line="239" w:lineRule="auto"/>
        <w:ind w:left="408" w:right="280"/>
        <w:rPr>
          <w:rFonts w:cs="Arial"/>
          <w:sz w:val="18"/>
          <w:szCs w:val="18"/>
          <w:lang w:val="fr-CH"/>
        </w:rPr>
      </w:pPr>
      <w:r w:rsidRPr="000B332F">
        <w:rPr>
          <w:rFonts w:cs="Arial"/>
          <w:sz w:val="18"/>
          <w:szCs w:val="18"/>
          <w:lang w:val="fr-CH"/>
        </w:rPr>
        <w:t xml:space="preserve">Should the vendor not comply with the delivery date, the delivery duration or the delivery point, he owes APAG a contractual penalty of 0.5% per week of delay, but not more than 5% of the total value of the delivery in question. The contractual penalty can also be claimed when APAG allows delivery or does not refuse delivery despite the delay. Apart from that, APAG does not give up their right to claim damages due to contractual penalty. Should the contractual penalty nevertheless be paid, the claim for compensation is reduced by the contractual penalty amount already paid. </w:t>
      </w:r>
    </w:p>
    <w:p w:rsidR="000B332F" w:rsidRPr="000B332F" w:rsidRDefault="000B332F" w:rsidP="000B332F">
      <w:pPr>
        <w:widowControl w:val="0"/>
        <w:autoSpaceDE w:val="0"/>
        <w:autoSpaceDN w:val="0"/>
        <w:adjustRightInd w:val="0"/>
        <w:spacing w:line="239" w:lineRule="auto"/>
        <w:ind w:left="408" w:right="280"/>
        <w:rPr>
          <w:rFonts w:cs="Arial"/>
          <w:sz w:val="18"/>
          <w:szCs w:val="18"/>
          <w:lang w:val="fr-CH"/>
        </w:rPr>
      </w:pPr>
    </w:p>
    <w:p w:rsidR="00647141" w:rsidRDefault="000B332F" w:rsidP="00593C4E">
      <w:pPr>
        <w:widowControl w:val="0"/>
        <w:autoSpaceDE w:val="0"/>
        <w:autoSpaceDN w:val="0"/>
        <w:adjustRightInd w:val="0"/>
        <w:ind w:left="408" w:right="1720"/>
        <w:rPr>
          <w:rFonts w:cs="Arial"/>
          <w:sz w:val="18"/>
          <w:szCs w:val="18"/>
          <w:lang w:val="fr-CH"/>
        </w:rPr>
      </w:pPr>
      <w:r w:rsidRPr="000B332F">
        <w:rPr>
          <w:rFonts w:cs="Arial"/>
          <w:spacing w:val="-2"/>
          <w:sz w:val="18"/>
          <w:szCs w:val="18"/>
          <w:lang w:val="fr-CH"/>
        </w:rPr>
        <w:t xml:space="preserve">Partial delivery and prior delivery are permissible only with written consent from </w:t>
      </w:r>
      <w:r w:rsidRPr="000B332F">
        <w:rPr>
          <w:rFonts w:cs="Arial"/>
          <w:sz w:val="18"/>
          <w:szCs w:val="18"/>
          <w:lang w:val="fr-CH"/>
        </w:rPr>
        <w:t>AP</w:t>
      </w:r>
      <w:r w:rsidRPr="000B332F">
        <w:rPr>
          <w:rFonts w:cs="Arial"/>
          <w:spacing w:val="-2"/>
          <w:sz w:val="18"/>
          <w:szCs w:val="18"/>
          <w:lang w:val="fr-CH"/>
        </w:rPr>
        <w:t>A</w:t>
      </w:r>
      <w:r w:rsidRPr="000B332F">
        <w:rPr>
          <w:rFonts w:cs="Arial"/>
          <w:sz w:val="18"/>
          <w:szCs w:val="18"/>
          <w:lang w:val="fr-CH"/>
        </w:rPr>
        <w:t>G.</w:t>
      </w:r>
    </w:p>
    <w:p w:rsidR="00593C4E" w:rsidRDefault="00593C4E" w:rsidP="00593C4E">
      <w:pPr>
        <w:widowControl w:val="0"/>
        <w:autoSpaceDE w:val="0"/>
        <w:autoSpaceDN w:val="0"/>
        <w:adjustRightInd w:val="0"/>
        <w:ind w:left="408" w:right="1720"/>
        <w:rPr>
          <w:rFonts w:cs="Arial"/>
          <w:sz w:val="18"/>
          <w:szCs w:val="18"/>
          <w:lang w:val="fr-CH"/>
        </w:rPr>
      </w:pPr>
    </w:p>
    <w:p w:rsidR="00593C4E" w:rsidRPr="00593C4E" w:rsidRDefault="00593C4E" w:rsidP="00593C4E">
      <w:pPr>
        <w:widowControl w:val="0"/>
        <w:autoSpaceDE w:val="0"/>
        <w:autoSpaceDN w:val="0"/>
        <w:adjustRightInd w:val="0"/>
        <w:ind w:left="408" w:right="1720"/>
        <w:rPr>
          <w:rFonts w:cs="Arial"/>
          <w:sz w:val="18"/>
          <w:szCs w:val="18"/>
          <w:lang w:val="fr-CH"/>
        </w:rPr>
      </w:pPr>
    </w:p>
    <w:p w:rsidR="00647141" w:rsidRPr="000B332F" w:rsidRDefault="00647141" w:rsidP="000B332F">
      <w:pPr>
        <w:widowControl w:val="0"/>
        <w:autoSpaceDE w:val="0"/>
        <w:autoSpaceDN w:val="0"/>
        <w:adjustRightInd w:val="0"/>
        <w:spacing w:line="200" w:lineRule="exact"/>
        <w:rPr>
          <w:rFonts w:cs="Arial"/>
          <w:sz w:val="20"/>
          <w:lang w:val="fr-CH"/>
        </w:rPr>
      </w:pPr>
    </w:p>
    <w:p w:rsidR="000B332F" w:rsidRDefault="000B332F" w:rsidP="00647141">
      <w:pPr>
        <w:pStyle w:val="Nadpis1"/>
        <w:pageBreakBefore w:val="0"/>
        <w:numPr>
          <w:ilvl w:val="0"/>
          <w:numId w:val="6"/>
        </w:numPr>
        <w:rPr>
          <w:sz w:val="20"/>
          <w:lang w:val="de-CH"/>
        </w:rPr>
      </w:pPr>
      <w:bookmarkStart w:id="6" w:name="_Toc528138535"/>
      <w:r w:rsidRPr="00647141">
        <w:rPr>
          <w:sz w:val="20"/>
          <w:lang w:val="de-CH"/>
        </w:rPr>
        <w:t xml:space="preserve">Further </w:t>
      </w:r>
      <w:proofErr w:type="spellStart"/>
      <w:r w:rsidRPr="00647141">
        <w:rPr>
          <w:sz w:val="20"/>
          <w:lang w:val="de-CH"/>
        </w:rPr>
        <w:t>delivery</w:t>
      </w:r>
      <w:proofErr w:type="spellEnd"/>
      <w:r w:rsidRPr="00647141">
        <w:rPr>
          <w:sz w:val="20"/>
          <w:lang w:val="de-CH"/>
        </w:rPr>
        <w:t xml:space="preserve"> </w:t>
      </w:r>
      <w:proofErr w:type="spellStart"/>
      <w:r w:rsidRPr="00647141">
        <w:rPr>
          <w:sz w:val="20"/>
          <w:lang w:val="de-CH"/>
        </w:rPr>
        <w:t>terms</w:t>
      </w:r>
      <w:bookmarkEnd w:id="6"/>
      <w:proofErr w:type="spellEnd"/>
    </w:p>
    <w:p w:rsidR="00647141" w:rsidRPr="00647141" w:rsidRDefault="00647141" w:rsidP="00647141">
      <w:pPr>
        <w:pStyle w:val="Normlnodsazen"/>
        <w:rPr>
          <w:lang w:val="de-CH"/>
        </w:rPr>
      </w:pPr>
    </w:p>
    <w:p w:rsidR="000B332F" w:rsidRPr="000B332F" w:rsidRDefault="000B332F" w:rsidP="000B332F">
      <w:pPr>
        <w:widowControl w:val="0"/>
        <w:autoSpaceDE w:val="0"/>
        <w:autoSpaceDN w:val="0"/>
        <w:adjustRightInd w:val="0"/>
        <w:spacing w:before="37" w:line="239" w:lineRule="auto"/>
        <w:ind w:left="408" w:right="281"/>
        <w:rPr>
          <w:rFonts w:cs="Arial"/>
          <w:sz w:val="18"/>
          <w:szCs w:val="18"/>
          <w:lang w:val="fr-CH"/>
        </w:rPr>
      </w:pPr>
      <w:r w:rsidRPr="000B332F">
        <w:rPr>
          <w:rFonts w:cs="Arial"/>
          <w:sz w:val="18"/>
          <w:szCs w:val="18"/>
          <w:lang w:val="fr-CH"/>
        </w:rPr>
        <w:t>As long as nothing contrary exists in the AEB and as long as the parties have not agreed upon anything contrary, the delivery follows under DDP terms (as per valid current incoterms) to the destination designated by APAG or agreed upon by the parties.</w:t>
      </w:r>
    </w:p>
    <w:p w:rsidR="000B332F" w:rsidRPr="000B332F" w:rsidRDefault="000B332F" w:rsidP="000B332F">
      <w:pPr>
        <w:widowControl w:val="0"/>
        <w:autoSpaceDE w:val="0"/>
        <w:autoSpaceDN w:val="0"/>
        <w:adjustRightInd w:val="0"/>
        <w:spacing w:before="37" w:line="239" w:lineRule="auto"/>
        <w:ind w:left="408" w:right="281"/>
        <w:rPr>
          <w:rFonts w:cs="Arial"/>
          <w:sz w:val="18"/>
          <w:szCs w:val="18"/>
          <w:lang w:val="fr-CH"/>
        </w:rPr>
      </w:pPr>
    </w:p>
    <w:p w:rsidR="000B332F" w:rsidRPr="00647141" w:rsidRDefault="000B332F" w:rsidP="00647141">
      <w:pPr>
        <w:widowControl w:val="0"/>
        <w:autoSpaceDE w:val="0"/>
        <w:autoSpaceDN w:val="0"/>
        <w:adjustRightInd w:val="0"/>
        <w:spacing w:before="37" w:line="239" w:lineRule="auto"/>
        <w:ind w:left="408" w:right="281"/>
        <w:rPr>
          <w:rFonts w:cs="Arial"/>
          <w:sz w:val="18"/>
          <w:szCs w:val="18"/>
          <w:lang w:val="fr-CH"/>
        </w:rPr>
      </w:pPr>
      <w:r w:rsidRPr="000B332F">
        <w:rPr>
          <w:rFonts w:cs="Arial"/>
          <w:sz w:val="18"/>
          <w:szCs w:val="18"/>
          <w:lang w:val="fr-CH"/>
        </w:rPr>
        <w:t xml:space="preserve">A simple delivery note needs to accompany each delivery. The delivery note needs to mention the delivery, article and vendor numbers for APAG as well as the delivery quantity, vendor article number, brand/manufacturer article number, date-code and </w:t>
      </w:r>
      <w:r w:rsidRPr="000B332F">
        <w:rPr>
          <w:rFonts w:cs="Arial"/>
          <w:color w:val="000000"/>
          <w:sz w:val="18"/>
          <w:szCs w:val="18"/>
          <w:lang w:val="fr-CH"/>
        </w:rPr>
        <w:t>R</w:t>
      </w:r>
      <w:r w:rsidRPr="000B332F">
        <w:rPr>
          <w:rFonts w:cs="Arial"/>
          <w:color w:val="000000"/>
          <w:spacing w:val="1"/>
          <w:sz w:val="18"/>
          <w:szCs w:val="18"/>
          <w:lang w:val="fr-CH"/>
        </w:rPr>
        <w:t>o</w:t>
      </w:r>
      <w:r w:rsidRPr="000B332F">
        <w:rPr>
          <w:rFonts w:cs="Arial"/>
          <w:color w:val="000000"/>
          <w:sz w:val="18"/>
          <w:szCs w:val="18"/>
          <w:lang w:val="fr-CH"/>
        </w:rPr>
        <w:t>HS/N</w:t>
      </w:r>
      <w:r w:rsidRPr="000B332F">
        <w:rPr>
          <w:rFonts w:cs="Arial"/>
          <w:color w:val="000000"/>
          <w:spacing w:val="-2"/>
          <w:sz w:val="18"/>
          <w:szCs w:val="18"/>
          <w:lang w:val="fr-CH"/>
        </w:rPr>
        <w:t>o</w:t>
      </w:r>
      <w:r w:rsidRPr="000B332F">
        <w:rPr>
          <w:rFonts w:cs="Arial"/>
          <w:color w:val="000000"/>
          <w:spacing w:val="1"/>
          <w:sz w:val="18"/>
          <w:szCs w:val="18"/>
          <w:lang w:val="fr-CH"/>
        </w:rPr>
        <w:t>n</w:t>
      </w:r>
      <w:r w:rsidRPr="000B332F">
        <w:rPr>
          <w:rFonts w:cs="Arial"/>
          <w:color w:val="000000"/>
          <w:sz w:val="18"/>
          <w:szCs w:val="18"/>
          <w:lang w:val="fr-CH"/>
        </w:rPr>
        <w:t>-R</w:t>
      </w:r>
      <w:r w:rsidRPr="000B332F">
        <w:rPr>
          <w:rFonts w:cs="Arial"/>
          <w:color w:val="000000"/>
          <w:spacing w:val="1"/>
          <w:sz w:val="18"/>
          <w:szCs w:val="18"/>
          <w:lang w:val="fr-CH"/>
        </w:rPr>
        <w:t>o</w:t>
      </w:r>
      <w:r w:rsidRPr="000B332F">
        <w:rPr>
          <w:rFonts w:cs="Arial"/>
          <w:color w:val="000000"/>
          <w:sz w:val="18"/>
          <w:szCs w:val="18"/>
          <w:lang w:val="fr-CH"/>
        </w:rPr>
        <w:t>HS confirmation.</w:t>
      </w:r>
    </w:p>
    <w:p w:rsidR="000B332F" w:rsidRPr="00DF50F4" w:rsidRDefault="000B332F" w:rsidP="00593C4E">
      <w:pPr>
        <w:widowControl w:val="0"/>
        <w:autoSpaceDE w:val="0"/>
        <w:autoSpaceDN w:val="0"/>
        <w:adjustRightInd w:val="0"/>
        <w:spacing w:line="206" w:lineRule="exact"/>
        <w:ind w:left="408" w:right="281"/>
        <w:rPr>
          <w:rFonts w:cs="Arial"/>
          <w:color w:val="000000"/>
          <w:sz w:val="18"/>
          <w:szCs w:val="18"/>
          <w:lang w:val="en-US"/>
        </w:rPr>
      </w:pPr>
      <w:r w:rsidRPr="000B332F">
        <w:rPr>
          <w:rFonts w:cs="Arial"/>
          <w:color w:val="000000"/>
          <w:sz w:val="18"/>
          <w:szCs w:val="18"/>
          <w:lang w:val="fr-CH"/>
        </w:rPr>
        <w:t xml:space="preserve">The products to be delivered are to be packed in accordance with safety specifications appropriately as per trade standards of the destination. </w:t>
      </w:r>
      <w:r w:rsidRPr="00DF50F4">
        <w:rPr>
          <w:rFonts w:cs="Arial"/>
          <w:color w:val="000000"/>
          <w:sz w:val="18"/>
          <w:szCs w:val="18"/>
          <w:lang w:val="en-US"/>
        </w:rPr>
        <w:t xml:space="preserve">APAG reserves the right to stipulate the packing method to the vendor. </w:t>
      </w:r>
    </w:p>
    <w:p w:rsidR="000B332F" w:rsidRPr="00DF50F4" w:rsidRDefault="000B332F" w:rsidP="000B332F">
      <w:pPr>
        <w:widowControl w:val="0"/>
        <w:autoSpaceDE w:val="0"/>
        <w:autoSpaceDN w:val="0"/>
        <w:adjustRightInd w:val="0"/>
        <w:spacing w:line="200" w:lineRule="exact"/>
        <w:rPr>
          <w:rFonts w:cs="Arial"/>
          <w:color w:val="000000"/>
          <w:sz w:val="20"/>
          <w:lang w:val="en-US"/>
        </w:rPr>
      </w:pPr>
    </w:p>
    <w:p w:rsidR="000B332F" w:rsidRPr="00647141" w:rsidRDefault="000B332F" w:rsidP="00647141">
      <w:pPr>
        <w:pStyle w:val="Nadpis1"/>
        <w:pageBreakBefore w:val="0"/>
        <w:numPr>
          <w:ilvl w:val="0"/>
          <w:numId w:val="6"/>
        </w:numPr>
        <w:rPr>
          <w:sz w:val="20"/>
          <w:lang w:val="fr-CH"/>
        </w:rPr>
      </w:pPr>
      <w:bookmarkStart w:id="7" w:name="_Toc528138536"/>
      <w:r w:rsidRPr="00647141">
        <w:rPr>
          <w:sz w:val="20"/>
          <w:lang w:val="fr-CH"/>
        </w:rPr>
        <w:t>Confidentiality obligations / Trademark rights of APAG</w:t>
      </w:r>
      <w:bookmarkEnd w:id="7"/>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r w:rsidRPr="00DF50F4">
        <w:rPr>
          <w:rFonts w:cs="Arial"/>
          <w:color w:val="000000"/>
          <w:sz w:val="18"/>
          <w:szCs w:val="18"/>
          <w:lang w:val="en-US"/>
        </w:rPr>
        <w:t xml:space="preserve">The vendor is obliged to maintain confidentiality of privileged i.e. not apparent information from APAG (especially manufacturing and trade secrets etc.) during and also after fulfillment of the contract </w:t>
      </w:r>
      <w:proofErr w:type="spellStart"/>
      <w:proofErr w:type="gramStart"/>
      <w:r w:rsidRPr="00DF50F4">
        <w:rPr>
          <w:rFonts w:cs="Arial"/>
          <w:color w:val="000000"/>
          <w:sz w:val="18"/>
          <w:szCs w:val="18"/>
          <w:lang w:val="en-US"/>
        </w:rPr>
        <w:t>an</w:t>
      </w:r>
      <w:proofErr w:type="spellEnd"/>
      <w:proofErr w:type="gramEnd"/>
      <w:r w:rsidRPr="00DF50F4">
        <w:rPr>
          <w:rFonts w:cs="Arial"/>
          <w:color w:val="000000"/>
          <w:sz w:val="18"/>
          <w:szCs w:val="18"/>
          <w:lang w:val="en-US"/>
        </w:rPr>
        <w:t xml:space="preserve"> not to share it with a third party. </w:t>
      </w:r>
      <w:r w:rsidRPr="000B332F">
        <w:rPr>
          <w:rFonts w:cs="Arial"/>
          <w:color w:val="000000"/>
          <w:sz w:val="18"/>
          <w:szCs w:val="18"/>
          <w:lang w:val="fr-CH"/>
        </w:rPr>
        <w:t>The vendor is further obliged to take care that even his personell as well as subcontractors handle this information confidentially. The confidentiality obligations are applicable irrespective whether privileged information was obtained accidentally or entrusted knowingly.</w:t>
      </w: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r w:rsidRPr="000B332F">
        <w:rPr>
          <w:rFonts w:cs="Arial"/>
          <w:color w:val="000000"/>
          <w:sz w:val="18"/>
          <w:szCs w:val="18"/>
          <w:lang w:val="fr-CH"/>
        </w:rPr>
        <w:t xml:space="preserve">The vendor acknowledges that the entire immaterial good rights relinquished subject matters (models, templates, samples and similar subject matters) as well as discoveries, techniques/practices, know-how, descriptions, report, drawings/plans, patents, other commercial trade mark rights etc. stay exclusively with APAG. The vendor is obliged to desist all actions that could violate the commercial trade mark rights of APAG. The vendor is to safely preserve the documents and materials provided to him for APAG within the scope of the contract execution and return them or destroy them immediately upon request by APAG, latest albeit at the end of the contract. </w:t>
      </w:r>
      <w:r w:rsidRPr="00DF50F4">
        <w:rPr>
          <w:rFonts w:cs="Arial"/>
          <w:color w:val="000000"/>
          <w:sz w:val="18"/>
          <w:szCs w:val="18"/>
          <w:lang w:val="en-US"/>
        </w:rPr>
        <w:t xml:space="preserve">He is not entitled to withhold it due to any reason. </w:t>
      </w:r>
      <w:r w:rsidRPr="000B332F">
        <w:rPr>
          <w:rFonts w:cs="Arial"/>
          <w:color w:val="000000"/>
          <w:sz w:val="18"/>
          <w:szCs w:val="18"/>
          <w:lang w:val="fr-CH"/>
        </w:rPr>
        <w:t>The complete return or destruction respectively is to be confirmed in writing.</w:t>
      </w: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r w:rsidRPr="000B332F">
        <w:rPr>
          <w:rFonts w:cs="Arial"/>
          <w:color w:val="000000"/>
          <w:sz w:val="18"/>
          <w:szCs w:val="18"/>
          <w:lang w:val="fr-CH"/>
        </w:rPr>
        <w:t xml:space="preserve">Any breach of obligations in the aforesaid paragraphs immediately attracts a contractual penalty for violation for each case in the amount of CHF 30,000.00. </w:t>
      </w:r>
      <w:r w:rsidR="00DF50F4" w:rsidRPr="000B332F">
        <w:rPr>
          <w:rFonts w:cs="Arial"/>
          <w:color w:val="000000"/>
          <w:sz w:val="18"/>
          <w:szCs w:val="18"/>
          <w:lang w:val="fr-CH"/>
        </w:rPr>
        <w:t>The</w:t>
      </w:r>
      <w:r w:rsidRPr="000B332F">
        <w:rPr>
          <w:rFonts w:cs="Arial"/>
          <w:color w:val="000000"/>
          <w:sz w:val="18"/>
          <w:szCs w:val="18"/>
          <w:lang w:val="fr-CH"/>
        </w:rPr>
        <w:t xml:space="preserve"> vendor reserves the right get the appropriateness of the amount of the contractual penalty legally appraised. Paid up contractual penalties are to be calculated (credited) into the claim for damages. </w:t>
      </w:r>
    </w:p>
    <w:p w:rsidR="000B332F" w:rsidRPr="000B332F" w:rsidRDefault="000B332F" w:rsidP="000B332F">
      <w:pPr>
        <w:widowControl w:val="0"/>
        <w:autoSpaceDE w:val="0"/>
        <w:autoSpaceDN w:val="0"/>
        <w:adjustRightInd w:val="0"/>
        <w:spacing w:line="200" w:lineRule="exact"/>
        <w:rPr>
          <w:rFonts w:cs="Arial"/>
          <w:color w:val="000000"/>
          <w:sz w:val="20"/>
          <w:lang w:val="fr-CH"/>
        </w:rPr>
      </w:pPr>
    </w:p>
    <w:p w:rsidR="000B332F" w:rsidRDefault="000B332F" w:rsidP="00647141">
      <w:pPr>
        <w:pStyle w:val="Nadpis1"/>
        <w:pageBreakBefore w:val="0"/>
        <w:numPr>
          <w:ilvl w:val="0"/>
          <w:numId w:val="6"/>
        </w:numPr>
        <w:rPr>
          <w:sz w:val="20"/>
          <w:lang w:val="fr-CH"/>
        </w:rPr>
      </w:pPr>
      <w:bookmarkStart w:id="8" w:name="_Toc528138537"/>
      <w:r w:rsidRPr="00647141">
        <w:rPr>
          <w:sz w:val="20"/>
          <w:lang w:val="fr-CH"/>
        </w:rPr>
        <w:t>Third party intellectual property rights.</w:t>
      </w:r>
      <w:bookmarkEnd w:id="8"/>
      <w:r w:rsidRPr="00647141">
        <w:rPr>
          <w:sz w:val="20"/>
          <w:lang w:val="fr-CH"/>
        </w:rPr>
        <w:t xml:space="preserve"> </w:t>
      </w:r>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r w:rsidRPr="000B332F">
        <w:rPr>
          <w:rFonts w:cs="Arial"/>
          <w:color w:val="000000"/>
          <w:sz w:val="18"/>
          <w:szCs w:val="18"/>
          <w:lang w:val="fr-CH"/>
        </w:rPr>
        <w:t>The vendor needs to vouch for it that use of the delivered products do not damage the trade mark rights or miscellaneous rights or business or trade secrets of a third party. He releases APAG and their customers from all third party claims.</w:t>
      </w:r>
    </w:p>
    <w:p w:rsidR="000B332F" w:rsidRPr="000B332F" w:rsidRDefault="000B332F" w:rsidP="000B332F">
      <w:pPr>
        <w:widowControl w:val="0"/>
        <w:autoSpaceDE w:val="0"/>
        <w:autoSpaceDN w:val="0"/>
        <w:adjustRightInd w:val="0"/>
        <w:spacing w:before="4"/>
        <w:ind w:left="408" w:right="281"/>
        <w:rPr>
          <w:rFonts w:cs="Arial"/>
          <w:color w:val="000000"/>
          <w:sz w:val="18"/>
          <w:szCs w:val="18"/>
          <w:lang w:val="fr-CH"/>
        </w:rPr>
      </w:pPr>
    </w:p>
    <w:p w:rsidR="000B332F" w:rsidRPr="00647141" w:rsidRDefault="000B332F" w:rsidP="00647141">
      <w:pPr>
        <w:pStyle w:val="Nadpis1"/>
        <w:pageBreakBefore w:val="0"/>
        <w:numPr>
          <w:ilvl w:val="0"/>
          <w:numId w:val="6"/>
        </w:numPr>
        <w:rPr>
          <w:sz w:val="20"/>
          <w:lang w:val="fr-CH"/>
        </w:rPr>
      </w:pPr>
      <w:bookmarkStart w:id="9" w:name="_Toc528138538"/>
      <w:r w:rsidRPr="00647141">
        <w:rPr>
          <w:sz w:val="20"/>
          <w:lang w:val="fr-CH"/>
        </w:rPr>
        <w:t>Guarantee (liability for defects / faulty goods) / Quality</w:t>
      </w:r>
      <w:bookmarkEnd w:id="9"/>
      <w:r w:rsidRPr="00647141">
        <w:rPr>
          <w:sz w:val="20"/>
          <w:lang w:val="fr-CH"/>
        </w:rPr>
        <w:t xml:space="preserve"> </w:t>
      </w:r>
    </w:p>
    <w:p w:rsidR="000B332F" w:rsidRPr="000B332F" w:rsidRDefault="000B332F" w:rsidP="000B332F">
      <w:pPr>
        <w:widowControl w:val="0"/>
        <w:autoSpaceDE w:val="0"/>
        <w:autoSpaceDN w:val="0"/>
        <w:adjustRightInd w:val="0"/>
        <w:spacing w:before="11" w:line="200" w:lineRule="exact"/>
        <w:rPr>
          <w:rFonts w:cs="Arial"/>
          <w:color w:val="000000"/>
          <w:sz w:val="20"/>
          <w:lang w:val="fr-CH"/>
        </w:rPr>
      </w:pPr>
    </w:p>
    <w:p w:rsidR="000B332F" w:rsidRPr="00647141" w:rsidRDefault="000B332F" w:rsidP="000B332F">
      <w:pPr>
        <w:widowControl w:val="0"/>
        <w:autoSpaceDE w:val="0"/>
        <w:autoSpaceDN w:val="0"/>
        <w:adjustRightInd w:val="0"/>
        <w:spacing w:before="4"/>
        <w:ind w:left="408" w:right="281"/>
        <w:rPr>
          <w:b/>
          <w:sz w:val="20"/>
          <w:lang w:val="fr-CH"/>
        </w:rPr>
      </w:pPr>
      <w:r w:rsidRPr="00647141">
        <w:rPr>
          <w:b/>
          <w:sz w:val="20"/>
          <w:lang w:val="fr-CH"/>
        </w:rPr>
        <w:t xml:space="preserve">9.1. The contract compliant condition  </w:t>
      </w:r>
    </w:p>
    <w:p w:rsidR="000B332F" w:rsidRPr="000B332F" w:rsidRDefault="000B332F" w:rsidP="000B332F">
      <w:pPr>
        <w:widowControl w:val="0"/>
        <w:autoSpaceDE w:val="0"/>
        <w:autoSpaceDN w:val="0"/>
        <w:adjustRightInd w:val="0"/>
        <w:spacing w:before="2" w:line="239" w:lineRule="auto"/>
        <w:ind w:left="408" w:right="280"/>
        <w:rPr>
          <w:rFonts w:cs="Arial"/>
          <w:color w:val="000000"/>
          <w:sz w:val="18"/>
          <w:szCs w:val="18"/>
          <w:lang w:val="fr-CH"/>
        </w:rPr>
      </w:pPr>
      <w:r w:rsidRPr="000B332F">
        <w:rPr>
          <w:rFonts w:cs="Arial"/>
          <w:color w:val="000000"/>
          <w:sz w:val="18"/>
          <w:szCs w:val="18"/>
          <w:lang w:val="fr-CH"/>
        </w:rPr>
        <w:t>The vendor guarantees and ensures,</w:t>
      </w:r>
      <w:r w:rsidRPr="000B332F">
        <w:rPr>
          <w:rFonts w:ascii="Times New Roman" w:hAnsi="Times New Roman"/>
          <w:color w:val="000000"/>
          <w:spacing w:val="23"/>
          <w:sz w:val="18"/>
          <w:szCs w:val="18"/>
          <w:lang w:val="fr-CH"/>
        </w:rPr>
        <w:t xml:space="preserve"> </w:t>
      </w:r>
      <w:r w:rsidRPr="000B332F">
        <w:rPr>
          <w:rFonts w:cs="Arial"/>
          <w:color w:val="000000"/>
          <w:sz w:val="18"/>
          <w:szCs w:val="18"/>
          <w:lang w:val="fr-CH"/>
        </w:rPr>
        <w:t>(</w:t>
      </w:r>
      <w:r w:rsidRPr="000B332F">
        <w:rPr>
          <w:rFonts w:cs="Arial"/>
          <w:color w:val="000000"/>
          <w:spacing w:val="1"/>
          <w:sz w:val="18"/>
          <w:szCs w:val="18"/>
          <w:lang w:val="fr-CH"/>
        </w:rPr>
        <w:t>i</w:t>
      </w:r>
      <w:r w:rsidRPr="000B332F">
        <w:rPr>
          <w:rFonts w:cs="Arial"/>
          <w:color w:val="000000"/>
          <w:sz w:val="18"/>
          <w:szCs w:val="18"/>
          <w:lang w:val="fr-CH"/>
        </w:rPr>
        <w:t>)</w:t>
      </w:r>
      <w:r w:rsidRPr="000B332F">
        <w:rPr>
          <w:rFonts w:ascii="Times New Roman" w:hAnsi="Times New Roman"/>
          <w:color w:val="000000"/>
          <w:spacing w:val="24"/>
          <w:sz w:val="18"/>
          <w:szCs w:val="18"/>
          <w:lang w:val="fr-CH"/>
        </w:rPr>
        <w:t xml:space="preserve"> </w:t>
      </w:r>
      <w:r w:rsidRPr="000B332F">
        <w:rPr>
          <w:rFonts w:cs="Arial"/>
          <w:color w:val="000000"/>
          <w:spacing w:val="1"/>
          <w:sz w:val="18"/>
          <w:szCs w:val="18"/>
          <w:lang w:val="fr-CH"/>
        </w:rPr>
        <w:t>that the products that are to be delivered or the delivered products do not exhibit any flaws that impair their value or usability, (ii) that they encompass all features agreed upon, (iii) that they comply with the specifications and documents (data sheets etc.) that were submitted to the vendor, (iv) the date-code of the delivered products are no older than 6 months and (v) the material, execution and construction comply with the science and technique as well as all applicable regulations (laws, technical regulations and norms, quality safety norms, standards etc.) as on date (</w:t>
      </w:r>
      <w:r w:rsidRPr="000B332F">
        <w:rPr>
          <w:rFonts w:cs="Arial"/>
          <w:color w:val="000000"/>
          <w:spacing w:val="-1"/>
          <w:sz w:val="18"/>
          <w:szCs w:val="18"/>
          <w:lang w:val="fr-CH"/>
        </w:rPr>
        <w:t xml:space="preserve">compare besides </w:t>
      </w:r>
      <w:r w:rsidRPr="000B332F">
        <w:rPr>
          <w:rFonts w:cs="Arial"/>
          <w:color w:val="000000"/>
          <w:sz w:val="18"/>
          <w:szCs w:val="18"/>
          <w:lang w:val="fr-CH"/>
        </w:rPr>
        <w:t>aforementioned</w:t>
      </w:r>
      <w:r w:rsidRPr="000B332F">
        <w:rPr>
          <w:rFonts w:cs="Arial"/>
          <w:color w:val="000000"/>
          <w:spacing w:val="-1"/>
          <w:sz w:val="18"/>
          <w:szCs w:val="18"/>
          <w:lang w:val="fr-CH"/>
        </w:rPr>
        <w:t xml:space="preserve"> point</w:t>
      </w:r>
      <w:r w:rsidRPr="000B332F">
        <w:rPr>
          <w:rFonts w:ascii="Times New Roman" w:hAnsi="Times New Roman"/>
          <w:color w:val="000000"/>
          <w:spacing w:val="3"/>
          <w:sz w:val="18"/>
          <w:szCs w:val="18"/>
          <w:lang w:val="fr-CH"/>
        </w:rPr>
        <w:t xml:space="preserve"> </w:t>
      </w:r>
      <w:r w:rsidRPr="000B332F">
        <w:rPr>
          <w:rFonts w:cs="Arial"/>
          <w:color w:val="000000"/>
          <w:sz w:val="18"/>
          <w:szCs w:val="18"/>
          <w:lang w:val="fr-CH"/>
        </w:rPr>
        <w:t>3</w:t>
      </w:r>
      <w:r w:rsidRPr="000B332F">
        <w:rPr>
          <w:rFonts w:ascii="Times New Roman" w:hAnsi="Times New Roman"/>
          <w:color w:val="000000"/>
          <w:spacing w:val="3"/>
          <w:sz w:val="18"/>
          <w:szCs w:val="18"/>
          <w:lang w:val="fr-CH"/>
        </w:rPr>
        <w:t xml:space="preserve"> </w:t>
      </w:r>
      <w:r w:rsidRPr="000B332F">
        <w:rPr>
          <w:rFonts w:cs="Arial"/>
          <w:color w:val="000000"/>
          <w:sz w:val="18"/>
          <w:szCs w:val="18"/>
          <w:lang w:val="fr-CH"/>
        </w:rPr>
        <w:t>paragraph</w:t>
      </w:r>
      <w:r w:rsidRPr="000B332F">
        <w:rPr>
          <w:rFonts w:ascii="Times New Roman" w:hAnsi="Times New Roman"/>
          <w:color w:val="000000"/>
          <w:spacing w:val="2"/>
          <w:sz w:val="18"/>
          <w:szCs w:val="18"/>
          <w:lang w:val="fr-CH"/>
        </w:rPr>
        <w:t xml:space="preserve"> </w:t>
      </w:r>
      <w:r w:rsidRPr="000B332F">
        <w:rPr>
          <w:rFonts w:cs="Arial"/>
          <w:color w:val="000000"/>
          <w:sz w:val="18"/>
          <w:szCs w:val="18"/>
          <w:lang w:val="fr-CH"/>
        </w:rPr>
        <w:t>2).</w:t>
      </w:r>
    </w:p>
    <w:p w:rsidR="000B332F" w:rsidRPr="000B332F" w:rsidRDefault="000B332F" w:rsidP="000B332F">
      <w:pPr>
        <w:widowControl w:val="0"/>
        <w:autoSpaceDE w:val="0"/>
        <w:autoSpaceDN w:val="0"/>
        <w:adjustRightInd w:val="0"/>
        <w:spacing w:before="2" w:line="239" w:lineRule="auto"/>
        <w:ind w:left="408" w:right="280"/>
        <w:rPr>
          <w:rFonts w:cs="Arial"/>
          <w:color w:val="000000"/>
          <w:sz w:val="18"/>
          <w:szCs w:val="18"/>
          <w:lang w:val="fr-CH"/>
        </w:rPr>
      </w:pPr>
    </w:p>
    <w:p w:rsidR="000B332F" w:rsidRPr="000B332F" w:rsidRDefault="000B332F" w:rsidP="000B332F">
      <w:pPr>
        <w:widowControl w:val="0"/>
        <w:autoSpaceDE w:val="0"/>
        <w:autoSpaceDN w:val="0"/>
        <w:adjustRightInd w:val="0"/>
        <w:spacing w:before="2" w:line="239" w:lineRule="auto"/>
        <w:ind w:left="408" w:right="280"/>
        <w:rPr>
          <w:rFonts w:cs="Arial"/>
          <w:color w:val="000000"/>
          <w:spacing w:val="1"/>
          <w:sz w:val="18"/>
          <w:szCs w:val="18"/>
          <w:lang w:val="fr-CH"/>
        </w:rPr>
      </w:pPr>
      <w:r w:rsidRPr="000B332F">
        <w:rPr>
          <w:rFonts w:cs="Arial"/>
          <w:color w:val="000000"/>
          <w:sz w:val="18"/>
          <w:szCs w:val="18"/>
          <w:lang w:val="fr-CH"/>
        </w:rPr>
        <w:t>The vendor is obliged to deliver exclusively products indicated by APAG and to use exclusively components indicated by APAG in case of product assembly.</w:t>
      </w:r>
      <w:r w:rsidRPr="000B332F">
        <w:rPr>
          <w:rFonts w:cs="Arial"/>
          <w:color w:val="000000"/>
          <w:spacing w:val="1"/>
          <w:sz w:val="18"/>
          <w:szCs w:val="18"/>
          <w:lang w:val="fr-CH"/>
        </w:rPr>
        <w:t xml:space="preserve"> Alternative products (second sources) require a prior written approval from APAG. Should the vendor deliver alternate products without written approval of APAG, the vendor is liable for all consequential damages, absolute accountability and in fact irrespective of whether or not this was identifiable for APAG within the scope of incoming goods inspection or during processing.</w:t>
      </w:r>
    </w:p>
    <w:p w:rsidR="000B332F" w:rsidRPr="000B332F" w:rsidRDefault="000B332F" w:rsidP="000B332F">
      <w:pPr>
        <w:widowControl w:val="0"/>
        <w:autoSpaceDE w:val="0"/>
        <w:autoSpaceDN w:val="0"/>
        <w:adjustRightInd w:val="0"/>
        <w:spacing w:before="2" w:line="239" w:lineRule="auto"/>
        <w:ind w:left="408" w:right="280"/>
        <w:rPr>
          <w:rFonts w:cs="Arial"/>
          <w:color w:val="000000"/>
          <w:spacing w:val="1"/>
          <w:sz w:val="18"/>
          <w:szCs w:val="18"/>
          <w:lang w:val="fr-CH"/>
        </w:rPr>
      </w:pPr>
    </w:p>
    <w:p w:rsidR="000B332F" w:rsidRPr="000B332F" w:rsidRDefault="000B332F" w:rsidP="000B332F">
      <w:pPr>
        <w:widowControl w:val="0"/>
        <w:autoSpaceDE w:val="0"/>
        <w:autoSpaceDN w:val="0"/>
        <w:adjustRightInd w:val="0"/>
        <w:spacing w:before="2" w:line="239" w:lineRule="auto"/>
        <w:ind w:left="408" w:right="280"/>
        <w:rPr>
          <w:rFonts w:cs="Arial"/>
          <w:color w:val="000000"/>
          <w:spacing w:val="1"/>
          <w:sz w:val="18"/>
          <w:szCs w:val="18"/>
          <w:lang w:val="fr-CH"/>
        </w:rPr>
      </w:pPr>
      <w:r w:rsidRPr="000B332F">
        <w:rPr>
          <w:rFonts w:cs="Arial"/>
          <w:color w:val="000000"/>
          <w:spacing w:val="1"/>
          <w:sz w:val="18"/>
          <w:szCs w:val="18"/>
          <w:lang w:val="fr-CH"/>
        </w:rPr>
        <w:t xml:space="preserve">Should the vendor be able to assess that the product ordered by APAG would be commercially non-viable or impractical for the use intended by APAG, he needs to point this out to APAG immediately in writing, failing which the products also count as flawed even in such a case even if they comply with standards set by APAG and in the aforementioned other paragraphs.      </w:t>
      </w:r>
    </w:p>
    <w:p w:rsidR="000B332F" w:rsidRDefault="000B332F" w:rsidP="000B332F">
      <w:pPr>
        <w:widowControl w:val="0"/>
        <w:autoSpaceDE w:val="0"/>
        <w:autoSpaceDN w:val="0"/>
        <w:adjustRightInd w:val="0"/>
        <w:ind w:left="408" w:right="7245"/>
        <w:rPr>
          <w:rFonts w:cs="Arial"/>
          <w:spacing w:val="1"/>
          <w:sz w:val="18"/>
          <w:szCs w:val="18"/>
          <w:lang w:val="fr-CH"/>
        </w:rPr>
      </w:pPr>
    </w:p>
    <w:p w:rsidR="000B332F" w:rsidRPr="000B332F" w:rsidRDefault="000B332F" w:rsidP="000B332F">
      <w:pPr>
        <w:widowControl w:val="0"/>
        <w:autoSpaceDE w:val="0"/>
        <w:autoSpaceDN w:val="0"/>
        <w:adjustRightInd w:val="0"/>
        <w:spacing w:before="37"/>
        <w:ind w:left="408" w:right="281"/>
        <w:rPr>
          <w:rFonts w:cs="Arial"/>
          <w:spacing w:val="1"/>
          <w:sz w:val="18"/>
          <w:szCs w:val="18"/>
          <w:lang w:val="fr-CH"/>
        </w:rPr>
      </w:pPr>
      <w:r w:rsidRPr="000B332F">
        <w:rPr>
          <w:rFonts w:cs="Arial"/>
          <w:sz w:val="18"/>
          <w:szCs w:val="18"/>
          <w:lang w:val="fr-CH"/>
        </w:rPr>
        <w:t xml:space="preserve">The vendor is liable also if he did not have knowledge about the flaw. </w:t>
      </w:r>
      <w:r w:rsidRPr="000B332F">
        <w:rPr>
          <w:rFonts w:cs="Arial"/>
          <w:spacing w:val="1"/>
          <w:sz w:val="18"/>
          <w:szCs w:val="18"/>
          <w:lang w:val="fr-CH"/>
        </w:rPr>
        <w:t>He is liable for his subcontractors just as he is for his own services and is responsible that the delivery and use of the delivered products do not violate third party safety proprietary or other rights.</w:t>
      </w:r>
    </w:p>
    <w:p w:rsidR="000B332F" w:rsidRPr="000B332F" w:rsidRDefault="000B332F" w:rsidP="000B332F">
      <w:pPr>
        <w:widowControl w:val="0"/>
        <w:autoSpaceDE w:val="0"/>
        <w:autoSpaceDN w:val="0"/>
        <w:adjustRightInd w:val="0"/>
        <w:spacing w:before="37"/>
        <w:ind w:left="408" w:right="281"/>
        <w:rPr>
          <w:rFonts w:cs="Arial"/>
          <w:spacing w:val="1"/>
          <w:sz w:val="18"/>
          <w:szCs w:val="18"/>
          <w:lang w:val="fr-CH"/>
        </w:rPr>
      </w:pPr>
    </w:p>
    <w:p w:rsidR="00647141" w:rsidRPr="00647141" w:rsidRDefault="000B332F" w:rsidP="00647141">
      <w:pPr>
        <w:pStyle w:val="Odstavecseseznamem"/>
        <w:widowControl w:val="0"/>
        <w:numPr>
          <w:ilvl w:val="1"/>
          <w:numId w:val="6"/>
        </w:numPr>
        <w:autoSpaceDE w:val="0"/>
        <w:autoSpaceDN w:val="0"/>
        <w:adjustRightInd w:val="0"/>
        <w:spacing w:before="2" w:line="239" w:lineRule="auto"/>
        <w:ind w:right="280"/>
        <w:rPr>
          <w:b/>
          <w:sz w:val="20"/>
          <w:lang w:val="fr-CH"/>
        </w:rPr>
      </w:pPr>
      <w:r w:rsidRPr="00647141">
        <w:rPr>
          <w:b/>
          <w:sz w:val="20"/>
          <w:lang w:val="fr-CH"/>
        </w:rPr>
        <w:t xml:space="preserve">Guarantee period  </w:t>
      </w:r>
    </w:p>
    <w:p w:rsidR="000B332F" w:rsidRPr="00DF50F4" w:rsidRDefault="000B332F" w:rsidP="000B332F">
      <w:pPr>
        <w:widowControl w:val="0"/>
        <w:autoSpaceDE w:val="0"/>
        <w:autoSpaceDN w:val="0"/>
        <w:adjustRightInd w:val="0"/>
        <w:spacing w:before="2" w:line="239" w:lineRule="auto"/>
        <w:ind w:left="408" w:right="280"/>
        <w:rPr>
          <w:rFonts w:cs="Arial"/>
          <w:color w:val="000000"/>
          <w:spacing w:val="1"/>
          <w:sz w:val="18"/>
          <w:szCs w:val="18"/>
          <w:lang w:val="en-US"/>
        </w:rPr>
      </w:pPr>
      <w:r w:rsidRPr="000B332F">
        <w:rPr>
          <w:rFonts w:cs="Arial"/>
          <w:color w:val="000000"/>
          <w:spacing w:val="1"/>
          <w:sz w:val="18"/>
          <w:szCs w:val="18"/>
          <w:lang w:val="fr-CH"/>
        </w:rPr>
        <w:t xml:space="preserve">For each delivery a guarantee period of three (3) years is applicable. </w:t>
      </w:r>
      <w:r w:rsidRPr="00DF50F4">
        <w:rPr>
          <w:rFonts w:cs="Arial"/>
          <w:color w:val="000000"/>
          <w:spacing w:val="1"/>
          <w:sz w:val="18"/>
          <w:szCs w:val="18"/>
          <w:lang w:val="en-US"/>
        </w:rPr>
        <w:t xml:space="preserve">The period starts with the entry of the delivery at the destination. </w:t>
      </w:r>
    </w:p>
    <w:p w:rsidR="000B332F" w:rsidRPr="00DF50F4" w:rsidRDefault="000B332F" w:rsidP="000B332F">
      <w:pPr>
        <w:widowControl w:val="0"/>
        <w:autoSpaceDE w:val="0"/>
        <w:autoSpaceDN w:val="0"/>
        <w:adjustRightInd w:val="0"/>
        <w:spacing w:before="2" w:line="239" w:lineRule="auto"/>
        <w:ind w:left="408" w:right="280"/>
        <w:rPr>
          <w:rFonts w:cs="Arial"/>
          <w:color w:val="000000"/>
          <w:spacing w:val="1"/>
          <w:sz w:val="18"/>
          <w:szCs w:val="18"/>
          <w:lang w:val="en-US"/>
        </w:rPr>
      </w:pPr>
    </w:p>
    <w:p w:rsidR="000B332F" w:rsidRPr="000B332F" w:rsidRDefault="000B332F" w:rsidP="000B332F">
      <w:pPr>
        <w:widowControl w:val="0"/>
        <w:autoSpaceDE w:val="0"/>
        <w:autoSpaceDN w:val="0"/>
        <w:adjustRightInd w:val="0"/>
        <w:spacing w:before="2" w:line="239" w:lineRule="auto"/>
        <w:ind w:left="408" w:right="280"/>
        <w:rPr>
          <w:rFonts w:cs="Arial"/>
          <w:color w:val="000000"/>
          <w:spacing w:val="1"/>
          <w:sz w:val="18"/>
          <w:szCs w:val="18"/>
          <w:lang w:val="fr-CH"/>
        </w:rPr>
      </w:pPr>
      <w:r w:rsidRPr="00DF50F4">
        <w:rPr>
          <w:rFonts w:cs="Arial"/>
          <w:color w:val="000000"/>
          <w:spacing w:val="1"/>
          <w:sz w:val="18"/>
          <w:szCs w:val="18"/>
          <w:lang w:val="en-US"/>
        </w:rPr>
        <w:t xml:space="preserve">During the guarantee period, APAG is authorized to contest flaws of all types. </w:t>
      </w:r>
      <w:r w:rsidRPr="000B332F">
        <w:rPr>
          <w:rFonts w:cs="Arial"/>
          <w:color w:val="000000"/>
          <w:spacing w:val="1"/>
          <w:sz w:val="18"/>
          <w:szCs w:val="18"/>
          <w:lang w:val="fr-CH"/>
        </w:rPr>
        <w:t>The vendor is to avoid any objection to delayed examination of the delivered products as well as objection to delayed claims to defects.</w:t>
      </w:r>
    </w:p>
    <w:p w:rsidR="000B332F" w:rsidRPr="00647141" w:rsidRDefault="000B332F" w:rsidP="00647141">
      <w:pPr>
        <w:pStyle w:val="Odstavecseseznamem"/>
        <w:widowControl w:val="0"/>
        <w:autoSpaceDE w:val="0"/>
        <w:autoSpaceDN w:val="0"/>
        <w:adjustRightInd w:val="0"/>
        <w:spacing w:before="2" w:line="239" w:lineRule="auto"/>
        <w:ind w:left="978" w:right="280"/>
        <w:rPr>
          <w:b/>
          <w:sz w:val="20"/>
          <w:lang w:val="fr-CH"/>
        </w:rPr>
      </w:pPr>
      <w:r w:rsidRPr="000B332F">
        <w:rPr>
          <w:rFonts w:cs="Arial"/>
          <w:color w:val="000000"/>
          <w:spacing w:val="1"/>
          <w:sz w:val="18"/>
          <w:szCs w:val="18"/>
          <w:lang w:val="fr-CH"/>
        </w:rPr>
        <w:t xml:space="preserve">  </w:t>
      </w:r>
    </w:p>
    <w:p w:rsidR="000B332F" w:rsidRPr="00647141" w:rsidRDefault="000B332F" w:rsidP="00647141">
      <w:pPr>
        <w:pStyle w:val="Odstavecseseznamem"/>
        <w:widowControl w:val="0"/>
        <w:numPr>
          <w:ilvl w:val="1"/>
          <w:numId w:val="6"/>
        </w:numPr>
        <w:autoSpaceDE w:val="0"/>
        <w:autoSpaceDN w:val="0"/>
        <w:adjustRightInd w:val="0"/>
        <w:spacing w:before="2" w:line="239" w:lineRule="auto"/>
        <w:ind w:right="280"/>
        <w:rPr>
          <w:b/>
          <w:sz w:val="20"/>
          <w:lang w:val="fr-CH"/>
        </w:rPr>
      </w:pPr>
      <w:r w:rsidRPr="00647141">
        <w:rPr>
          <w:b/>
          <w:sz w:val="20"/>
          <w:lang w:val="fr-CH"/>
        </w:rPr>
        <w:t>Rights arising from product defects.</w:t>
      </w:r>
    </w:p>
    <w:p w:rsidR="000B332F" w:rsidRPr="000B332F" w:rsidRDefault="000B332F" w:rsidP="000B332F">
      <w:pPr>
        <w:widowControl w:val="0"/>
        <w:autoSpaceDE w:val="0"/>
        <w:autoSpaceDN w:val="0"/>
        <w:adjustRightInd w:val="0"/>
        <w:spacing w:before="2" w:line="239" w:lineRule="auto"/>
        <w:ind w:left="408" w:right="280"/>
        <w:rPr>
          <w:rFonts w:cs="Arial"/>
          <w:sz w:val="18"/>
          <w:szCs w:val="18"/>
          <w:lang w:val="fr-CH"/>
        </w:rPr>
      </w:pPr>
      <w:r w:rsidRPr="00DF50F4">
        <w:rPr>
          <w:rFonts w:cs="Arial"/>
          <w:sz w:val="18"/>
          <w:szCs w:val="18"/>
          <w:lang w:val="en-US"/>
        </w:rPr>
        <w:t>Should the delivered products be flawed, APAG is authorized at free will and without any further conditions to either (</w:t>
      </w:r>
      <w:proofErr w:type="spellStart"/>
      <w:r w:rsidRPr="00DF50F4">
        <w:rPr>
          <w:rFonts w:cs="Arial"/>
          <w:sz w:val="18"/>
          <w:szCs w:val="18"/>
          <w:lang w:val="en-US"/>
        </w:rPr>
        <w:t>i</w:t>
      </w:r>
      <w:proofErr w:type="spellEnd"/>
      <w:r w:rsidRPr="00DF50F4">
        <w:rPr>
          <w:rFonts w:cs="Arial"/>
          <w:sz w:val="18"/>
          <w:szCs w:val="18"/>
          <w:lang w:val="en-US"/>
        </w:rPr>
        <w:t xml:space="preserve">) reduce the price corresponding to the shortage (ii) to step out of the contract or (iii) to demand subsequent delivery of flawless products or correction of the flawed products. </w:t>
      </w:r>
      <w:r w:rsidRPr="000B332F">
        <w:rPr>
          <w:rFonts w:cs="Arial"/>
          <w:sz w:val="18"/>
          <w:szCs w:val="18"/>
          <w:lang w:val="fr-CH"/>
        </w:rPr>
        <w:t>In the last scenario (iii) APAG sets a reasonable duration for subsequent delivery or product correction respectively for the vendor. Should the vendor allow this duration to elapse unutilized, or should he stipulate already that setting a time line is of no use, or should there be danger in delay, APAG is authorized to undertake correction on their own or through a third party or arrange for replacement of the flawed products at the vendor’s account</w:t>
      </w:r>
    </w:p>
    <w:p w:rsidR="000B332F" w:rsidRPr="000B332F" w:rsidRDefault="000B332F" w:rsidP="000B332F">
      <w:pPr>
        <w:widowControl w:val="0"/>
        <w:autoSpaceDE w:val="0"/>
        <w:autoSpaceDN w:val="0"/>
        <w:adjustRightInd w:val="0"/>
        <w:spacing w:before="2" w:line="239" w:lineRule="auto"/>
        <w:ind w:left="408" w:right="280"/>
        <w:rPr>
          <w:rFonts w:cs="Arial"/>
          <w:sz w:val="18"/>
          <w:szCs w:val="18"/>
          <w:lang w:val="fr-CH"/>
        </w:rPr>
      </w:pPr>
    </w:p>
    <w:p w:rsidR="000B332F" w:rsidRPr="000B332F" w:rsidRDefault="000B332F" w:rsidP="000B332F">
      <w:pPr>
        <w:widowControl w:val="0"/>
        <w:autoSpaceDE w:val="0"/>
        <w:autoSpaceDN w:val="0"/>
        <w:adjustRightInd w:val="0"/>
        <w:spacing w:before="2" w:line="239" w:lineRule="auto"/>
        <w:ind w:left="408" w:right="280"/>
        <w:rPr>
          <w:rFonts w:cs="Arial"/>
          <w:sz w:val="18"/>
          <w:szCs w:val="18"/>
          <w:lang w:val="fr-CH"/>
        </w:rPr>
      </w:pPr>
      <w:r w:rsidRPr="000B332F">
        <w:rPr>
          <w:rFonts w:cs="Arial"/>
          <w:sz w:val="18"/>
          <w:szCs w:val="18"/>
          <w:lang w:val="fr-CH"/>
        </w:rPr>
        <w:t>Notwithstanding the aforementioned rights (paragraph 1), APAG is authorized to demand compensation that APAG suffered from the delivery (direct or indirect) of the flawed products and in fact irrespective of whether or not the vendor is at fault for the flaw in the delivered product. Compensation liability also entails those actual losses that emerge due to the fact that APAG becomes liable for a sellers warrantee towards his customers as long as the accountability for defective products is attributable to the vendor</w:t>
      </w:r>
      <w:r w:rsidR="00DF50F4" w:rsidRPr="000B332F">
        <w:rPr>
          <w:rFonts w:cs="Arial"/>
          <w:sz w:val="18"/>
          <w:szCs w:val="18"/>
          <w:lang w:val="fr-CH"/>
        </w:rPr>
        <w:t>.</w:t>
      </w:r>
      <w:r w:rsidRPr="000B332F">
        <w:rPr>
          <w:rFonts w:cs="Arial"/>
          <w:sz w:val="18"/>
          <w:szCs w:val="18"/>
          <w:lang w:val="fr-CH"/>
        </w:rPr>
        <w:t xml:space="preserve">  </w:t>
      </w:r>
    </w:p>
    <w:p w:rsidR="000B332F" w:rsidRPr="000B332F" w:rsidRDefault="000B332F" w:rsidP="000B332F">
      <w:pPr>
        <w:widowControl w:val="0"/>
        <w:autoSpaceDE w:val="0"/>
        <w:autoSpaceDN w:val="0"/>
        <w:adjustRightInd w:val="0"/>
        <w:spacing w:line="200" w:lineRule="exact"/>
        <w:rPr>
          <w:rFonts w:cs="Arial"/>
          <w:sz w:val="20"/>
          <w:lang w:val="fr-CH"/>
        </w:rPr>
      </w:pPr>
    </w:p>
    <w:p w:rsidR="000B332F" w:rsidRDefault="000B332F" w:rsidP="00647141">
      <w:pPr>
        <w:pStyle w:val="Nadpis1"/>
        <w:pageBreakBefore w:val="0"/>
        <w:numPr>
          <w:ilvl w:val="0"/>
          <w:numId w:val="6"/>
        </w:numPr>
        <w:rPr>
          <w:sz w:val="20"/>
          <w:lang w:val="fr-CH"/>
        </w:rPr>
      </w:pPr>
      <w:bookmarkStart w:id="10" w:name="_Toc528138539"/>
      <w:r w:rsidRPr="00647141">
        <w:rPr>
          <w:sz w:val="20"/>
          <w:lang w:val="fr-CH"/>
        </w:rPr>
        <w:t>Product liability</w:t>
      </w:r>
      <w:bookmarkEnd w:id="10"/>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4"/>
        <w:ind w:left="408" w:right="280"/>
        <w:rPr>
          <w:rFonts w:cs="Arial"/>
          <w:spacing w:val="5"/>
          <w:sz w:val="18"/>
          <w:szCs w:val="18"/>
          <w:lang w:val="fr-CH"/>
        </w:rPr>
      </w:pPr>
      <w:r w:rsidRPr="000B332F">
        <w:rPr>
          <w:rFonts w:cs="Arial"/>
          <w:spacing w:val="5"/>
          <w:sz w:val="18"/>
          <w:szCs w:val="18"/>
          <w:lang w:val="fr-CH"/>
        </w:rPr>
        <w:t>Should APAG be prosecuted by a third party due to regulations of product liability because the delivered products do not comply with these regulations, the vendor relinquishes APAG from these claims. Thereby it is irrelevant whether this relates to applicable inland (Swiss) or foreign rights product liability.</w:t>
      </w:r>
    </w:p>
    <w:p w:rsidR="000B332F" w:rsidRPr="000B332F" w:rsidRDefault="000B332F" w:rsidP="000B332F">
      <w:pPr>
        <w:widowControl w:val="0"/>
        <w:autoSpaceDE w:val="0"/>
        <w:autoSpaceDN w:val="0"/>
        <w:adjustRightInd w:val="0"/>
        <w:spacing w:before="4"/>
        <w:ind w:left="408" w:right="280"/>
        <w:rPr>
          <w:rFonts w:cs="Arial"/>
          <w:spacing w:val="5"/>
          <w:sz w:val="18"/>
          <w:szCs w:val="18"/>
          <w:lang w:val="fr-CH"/>
        </w:rPr>
      </w:pPr>
    </w:p>
    <w:p w:rsidR="000B332F" w:rsidRPr="000B332F" w:rsidRDefault="000B332F" w:rsidP="000B332F">
      <w:pPr>
        <w:widowControl w:val="0"/>
        <w:autoSpaceDE w:val="0"/>
        <w:autoSpaceDN w:val="0"/>
        <w:adjustRightInd w:val="0"/>
        <w:ind w:left="408" w:right="281"/>
        <w:rPr>
          <w:rFonts w:cs="Arial"/>
          <w:sz w:val="18"/>
          <w:szCs w:val="18"/>
          <w:lang w:val="fr-CH"/>
        </w:rPr>
      </w:pPr>
      <w:r w:rsidRPr="000B332F">
        <w:rPr>
          <w:rFonts w:cs="Arial"/>
          <w:sz w:val="18"/>
          <w:szCs w:val="18"/>
          <w:lang w:val="fr-CH"/>
        </w:rPr>
        <w:t>APAG is liable to inform the vendor as soon as he comes to know about such claims, in order to enable him to fend off any unjustified claims. APAG can cede the process execution to the vendor once it is established that the source of the damage can only be the products delivered by the vendor.</w:t>
      </w:r>
    </w:p>
    <w:p w:rsidR="000B332F" w:rsidRPr="000B332F" w:rsidRDefault="000B332F" w:rsidP="000B332F">
      <w:pPr>
        <w:widowControl w:val="0"/>
        <w:autoSpaceDE w:val="0"/>
        <w:autoSpaceDN w:val="0"/>
        <w:adjustRightInd w:val="0"/>
        <w:ind w:left="408" w:right="281"/>
        <w:rPr>
          <w:rFonts w:cs="Arial"/>
          <w:sz w:val="18"/>
          <w:szCs w:val="18"/>
          <w:lang w:val="fr-CH"/>
        </w:rPr>
      </w:pPr>
    </w:p>
    <w:p w:rsidR="000B332F" w:rsidRPr="000B332F" w:rsidRDefault="000B332F" w:rsidP="000B332F">
      <w:pPr>
        <w:widowControl w:val="0"/>
        <w:autoSpaceDE w:val="0"/>
        <w:autoSpaceDN w:val="0"/>
        <w:adjustRightInd w:val="0"/>
        <w:ind w:left="408" w:right="281"/>
        <w:rPr>
          <w:rFonts w:cs="Arial"/>
          <w:sz w:val="18"/>
          <w:szCs w:val="18"/>
          <w:lang w:val="fr-CH"/>
        </w:rPr>
      </w:pPr>
      <w:r w:rsidRPr="000B332F">
        <w:rPr>
          <w:rFonts w:cs="Arial"/>
          <w:sz w:val="18"/>
          <w:szCs w:val="18"/>
          <w:lang w:val="fr-CH"/>
        </w:rPr>
        <w:t>Should a call back be imposed due to faulty product (of the vendor) after assessment by APAG, APAG guides the vendor on it immediately, as long as the danger is not in default. The vendor bears the costs for the call back action as long as the call back has become necessary due to faults in the product delivered by him. Should the call back be due to multiple reasons, the costs are shared n proportion.</w:t>
      </w:r>
    </w:p>
    <w:p w:rsidR="000B332F" w:rsidRPr="000B332F" w:rsidRDefault="000B332F" w:rsidP="000B332F">
      <w:pPr>
        <w:widowControl w:val="0"/>
        <w:autoSpaceDE w:val="0"/>
        <w:autoSpaceDN w:val="0"/>
        <w:adjustRightInd w:val="0"/>
        <w:ind w:left="408" w:right="281"/>
        <w:rPr>
          <w:rFonts w:cs="Arial"/>
          <w:sz w:val="18"/>
          <w:szCs w:val="18"/>
          <w:lang w:val="fr-CH"/>
        </w:rPr>
      </w:pPr>
    </w:p>
    <w:p w:rsidR="000B332F" w:rsidRPr="000B332F" w:rsidRDefault="000B332F" w:rsidP="000B332F">
      <w:pPr>
        <w:widowControl w:val="0"/>
        <w:autoSpaceDE w:val="0"/>
        <w:autoSpaceDN w:val="0"/>
        <w:adjustRightInd w:val="0"/>
        <w:ind w:left="408" w:right="281"/>
        <w:rPr>
          <w:rFonts w:cs="Arial"/>
          <w:sz w:val="18"/>
          <w:szCs w:val="18"/>
          <w:lang w:val="fr-CH"/>
        </w:rPr>
      </w:pPr>
      <w:r w:rsidRPr="000B332F">
        <w:rPr>
          <w:rFonts w:cs="Arial"/>
          <w:sz w:val="18"/>
          <w:szCs w:val="18"/>
          <w:lang w:val="fr-CH"/>
        </w:rPr>
        <w:t xml:space="preserve">The liability of APAG towards the vendor in this context lapses same as the liabilities of the injured third party towards APAG, this means as per the rules of the applicable product liability law.   </w:t>
      </w:r>
    </w:p>
    <w:p w:rsidR="000B332F" w:rsidRPr="000B332F" w:rsidRDefault="000B332F" w:rsidP="000B332F">
      <w:pPr>
        <w:widowControl w:val="0"/>
        <w:autoSpaceDE w:val="0"/>
        <w:autoSpaceDN w:val="0"/>
        <w:adjustRightInd w:val="0"/>
        <w:spacing w:before="6" w:line="200" w:lineRule="exact"/>
        <w:rPr>
          <w:rFonts w:cs="Arial"/>
          <w:sz w:val="20"/>
          <w:lang w:val="fr-CH"/>
        </w:rPr>
      </w:pPr>
    </w:p>
    <w:p w:rsidR="000B332F" w:rsidRDefault="000B332F" w:rsidP="00647141">
      <w:pPr>
        <w:pStyle w:val="Nadpis1"/>
        <w:pageBreakBefore w:val="0"/>
        <w:numPr>
          <w:ilvl w:val="0"/>
          <w:numId w:val="6"/>
        </w:numPr>
        <w:rPr>
          <w:sz w:val="20"/>
          <w:lang w:val="fr-CH"/>
        </w:rPr>
      </w:pPr>
      <w:bookmarkStart w:id="11" w:name="_Toc528138540"/>
      <w:r w:rsidRPr="00647141">
        <w:rPr>
          <w:sz w:val="20"/>
          <w:lang w:val="fr-CH"/>
        </w:rPr>
        <w:t>Supplies</w:t>
      </w:r>
      <w:bookmarkEnd w:id="11"/>
      <w:r w:rsidRPr="00647141">
        <w:rPr>
          <w:sz w:val="20"/>
          <w:lang w:val="fr-CH"/>
        </w:rPr>
        <w:t xml:space="preserve"> </w:t>
      </w:r>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ind w:left="408" w:right="281"/>
        <w:rPr>
          <w:rFonts w:cs="Arial"/>
          <w:sz w:val="18"/>
          <w:szCs w:val="18"/>
          <w:lang w:val="fr-CH"/>
        </w:rPr>
      </w:pPr>
      <w:r w:rsidRPr="000B332F">
        <w:rPr>
          <w:rFonts w:cs="Arial"/>
          <w:sz w:val="18"/>
          <w:szCs w:val="18"/>
          <w:lang w:val="fr-CH"/>
        </w:rPr>
        <w:t xml:space="preserve">Materials, fabric, parts, containers, special packing, tools, measurement material or similar (‘supplies’) remain a proprietary of APAG. The processing, combination, mixing of the supplies, APAG retains joint ownership in the new product in proportionate to the value of the supplies compared to the value of the total credentials </w:t>
      </w:r>
    </w:p>
    <w:p w:rsidR="000B332F" w:rsidRPr="000B332F" w:rsidRDefault="000B332F" w:rsidP="000B332F">
      <w:pPr>
        <w:widowControl w:val="0"/>
        <w:autoSpaceDE w:val="0"/>
        <w:autoSpaceDN w:val="0"/>
        <w:adjustRightInd w:val="0"/>
        <w:ind w:left="408" w:right="281"/>
        <w:rPr>
          <w:rFonts w:cs="Arial"/>
          <w:sz w:val="18"/>
          <w:szCs w:val="18"/>
          <w:lang w:val="fr-CH"/>
        </w:rPr>
      </w:pP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r w:rsidRPr="000B332F">
        <w:rPr>
          <w:rFonts w:cs="Arial"/>
          <w:sz w:val="18"/>
          <w:szCs w:val="18"/>
          <w:lang w:val="fr-CH"/>
        </w:rPr>
        <w:t xml:space="preserve">Supplies may be used only in compliance and are to be returned to APAG if not used for the order. The vendor does not reserve the right to retain supplies for any reason. </w:t>
      </w:r>
    </w:p>
    <w:p w:rsidR="000B332F" w:rsidRPr="000B332F" w:rsidRDefault="000B332F" w:rsidP="000B332F">
      <w:pPr>
        <w:widowControl w:val="0"/>
        <w:autoSpaceDE w:val="0"/>
        <w:autoSpaceDN w:val="0"/>
        <w:adjustRightInd w:val="0"/>
        <w:spacing w:line="206" w:lineRule="exact"/>
        <w:ind w:left="408" w:right="281"/>
        <w:rPr>
          <w:rFonts w:cs="Arial"/>
          <w:sz w:val="18"/>
          <w:szCs w:val="18"/>
          <w:lang w:val="fr-CH"/>
        </w:rPr>
      </w:pPr>
    </w:p>
    <w:p w:rsidR="000B332F" w:rsidRPr="000B332F" w:rsidRDefault="000B332F" w:rsidP="000B332F">
      <w:pPr>
        <w:widowControl w:val="0"/>
        <w:autoSpaceDE w:val="0"/>
        <w:autoSpaceDN w:val="0"/>
        <w:adjustRightInd w:val="0"/>
        <w:ind w:left="408"/>
        <w:rPr>
          <w:rFonts w:cs="Arial"/>
          <w:sz w:val="18"/>
          <w:szCs w:val="18"/>
          <w:lang w:val="fr-CH"/>
        </w:rPr>
      </w:pPr>
      <w:r w:rsidRPr="000B332F">
        <w:rPr>
          <w:rFonts w:cs="Arial"/>
          <w:sz w:val="18"/>
          <w:szCs w:val="18"/>
          <w:lang w:val="fr-CH"/>
        </w:rPr>
        <w:t>Supplies as well as duplication of the same cannot be made available to third parties (also subcontractors) and cannot be used for purposes other than agreed upon. Duplication of supplies may be done only after prior written approval from APAG. Upon duplication, copies shall become a property APAG</w:t>
      </w:r>
      <w:r w:rsidRPr="000B332F">
        <w:rPr>
          <w:rFonts w:cs="Arial"/>
          <w:spacing w:val="1"/>
          <w:sz w:val="18"/>
          <w:szCs w:val="18"/>
          <w:lang w:val="fr-CH"/>
        </w:rPr>
        <w:t xml:space="preserve">  </w:t>
      </w:r>
    </w:p>
    <w:p w:rsidR="000B332F" w:rsidRDefault="000B332F" w:rsidP="000B332F">
      <w:pPr>
        <w:widowControl w:val="0"/>
        <w:autoSpaceDE w:val="0"/>
        <w:autoSpaceDN w:val="0"/>
        <w:adjustRightInd w:val="0"/>
        <w:ind w:left="408" w:right="281"/>
        <w:rPr>
          <w:rFonts w:cs="Arial"/>
          <w:sz w:val="18"/>
          <w:szCs w:val="18"/>
          <w:lang w:val="fr-CH"/>
        </w:rPr>
      </w:pPr>
    </w:p>
    <w:p w:rsidR="00647141" w:rsidRDefault="00647141" w:rsidP="00593C4E">
      <w:pPr>
        <w:widowControl w:val="0"/>
        <w:autoSpaceDE w:val="0"/>
        <w:autoSpaceDN w:val="0"/>
        <w:adjustRightInd w:val="0"/>
        <w:ind w:right="281"/>
        <w:rPr>
          <w:rFonts w:cs="Arial"/>
          <w:sz w:val="18"/>
          <w:szCs w:val="18"/>
          <w:lang w:val="fr-CH"/>
        </w:rPr>
      </w:pPr>
    </w:p>
    <w:p w:rsidR="00647141" w:rsidRPr="000B332F" w:rsidRDefault="00647141" w:rsidP="000B332F">
      <w:pPr>
        <w:widowControl w:val="0"/>
        <w:autoSpaceDE w:val="0"/>
        <w:autoSpaceDN w:val="0"/>
        <w:adjustRightInd w:val="0"/>
        <w:ind w:left="408" w:right="281"/>
        <w:rPr>
          <w:rFonts w:cs="Arial"/>
          <w:sz w:val="18"/>
          <w:szCs w:val="18"/>
          <w:lang w:val="fr-CH"/>
        </w:rPr>
      </w:pPr>
    </w:p>
    <w:p w:rsidR="000B332F" w:rsidRDefault="000B332F" w:rsidP="00647141">
      <w:pPr>
        <w:pStyle w:val="Nadpis1"/>
        <w:pageBreakBefore w:val="0"/>
        <w:numPr>
          <w:ilvl w:val="0"/>
          <w:numId w:val="6"/>
        </w:numPr>
        <w:rPr>
          <w:sz w:val="20"/>
          <w:lang w:val="fr-CH"/>
        </w:rPr>
      </w:pPr>
      <w:bookmarkStart w:id="12" w:name="_Toc528138541"/>
      <w:r w:rsidRPr="00647141">
        <w:rPr>
          <w:sz w:val="20"/>
          <w:lang w:val="fr-CH"/>
        </w:rPr>
        <w:t>Manufacturing equipment manufactured by the vendor (tools etc.)</w:t>
      </w:r>
      <w:bookmarkEnd w:id="12"/>
      <w:r w:rsidRPr="00647141">
        <w:rPr>
          <w:sz w:val="20"/>
          <w:lang w:val="fr-CH"/>
        </w:rPr>
        <w:t xml:space="preserve"> </w:t>
      </w:r>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Should the manufacturing of the products to be delivered require special manufacturing equipment (</w:t>
      </w:r>
      <w:r w:rsidRPr="000B332F">
        <w:rPr>
          <w:rFonts w:cs="Arial"/>
          <w:spacing w:val="-3"/>
          <w:sz w:val="18"/>
          <w:szCs w:val="18"/>
          <w:lang w:val="fr-CH"/>
        </w:rPr>
        <w:t>matrixes</w:t>
      </w:r>
      <w:r w:rsidRPr="000B332F">
        <w:rPr>
          <w:rFonts w:cs="Arial"/>
          <w:sz w:val="18"/>
          <w:szCs w:val="18"/>
          <w:lang w:val="fr-CH"/>
        </w:rPr>
        <w:t>, models, templates, samples, tools, testing material amongst others), APAG retains co-ownership or full ownership in the scope within which APAG contributed in the declared costs (of the manufacturing equipment).</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p>
    <w:p w:rsidR="00D06DFE"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 xml:space="preserve">The payment of the cost of the manufacturing equipment runs through APAG unmediated in the (co) ownership, even if it stays in the premises of the vendor. The manufacturing equipment is to be marked by the vendor </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as (co) ownership of APAG (in fact on the product as well as in the accounts books).</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p>
    <w:p w:rsidR="000B332F" w:rsidRPr="000B332F"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 xml:space="preserve">Manufacturing equipment (co) owned by APAH is to be used exclusively for production of products to be delivered. The vendor is further authorized to make use of manufacturing equipment physically or legally, store at their own site or make it functional temporarily only with written consent from APAG. Maintenance, repairs and replacement of the manufacturing equipment is to be borne by the vendor. </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p>
    <w:p w:rsidR="000B332F" w:rsidRPr="000B332F"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APAG reserves a pre-emptive right for manufacturing equipment co-owned by APAG. After delivery, the vendor needs to hand over the production equipment immediately to APAG. For manufacturing equipment that are co-owned, APAG needs to compensate the co-ownership share to the vendor at the current value of the equipment after receipt of the same. The vendor does not reserve the right to retain it under any circumstance. The vendor is obliged to retrun the equipment also in case he goes insolvent or in case of a long term break in delivery.</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p>
    <w:p w:rsidR="000B332F" w:rsidRPr="000B332F" w:rsidRDefault="000B332F" w:rsidP="000B332F">
      <w:pPr>
        <w:widowControl w:val="0"/>
        <w:autoSpaceDE w:val="0"/>
        <w:autoSpaceDN w:val="0"/>
        <w:adjustRightInd w:val="0"/>
        <w:spacing w:before="8" w:line="200" w:lineRule="exact"/>
        <w:rPr>
          <w:rFonts w:cs="Arial"/>
          <w:sz w:val="20"/>
          <w:lang w:val="fr-CH"/>
        </w:rPr>
      </w:pPr>
    </w:p>
    <w:p w:rsidR="000B332F" w:rsidRDefault="000B332F" w:rsidP="00647141">
      <w:pPr>
        <w:pStyle w:val="Nadpis1"/>
        <w:pageBreakBefore w:val="0"/>
        <w:numPr>
          <w:ilvl w:val="0"/>
          <w:numId w:val="6"/>
        </w:numPr>
        <w:rPr>
          <w:sz w:val="20"/>
          <w:lang w:val="fr-CH"/>
        </w:rPr>
      </w:pPr>
      <w:bookmarkStart w:id="13" w:name="_Toc528138542"/>
      <w:r w:rsidRPr="00647141">
        <w:rPr>
          <w:sz w:val="20"/>
          <w:lang w:val="fr-CH"/>
        </w:rPr>
        <w:t>Long term inability to deliver / impending insolvency of the vendor</w:t>
      </w:r>
      <w:bookmarkEnd w:id="13"/>
      <w:r w:rsidRPr="00647141">
        <w:rPr>
          <w:sz w:val="20"/>
          <w:lang w:val="fr-CH"/>
        </w:rPr>
        <w:t xml:space="preserve">  </w:t>
      </w:r>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4"/>
        <w:ind w:left="408" w:right="281"/>
        <w:rPr>
          <w:rFonts w:cs="Arial"/>
          <w:sz w:val="18"/>
          <w:szCs w:val="18"/>
          <w:lang w:val="fr-CH"/>
        </w:rPr>
      </w:pPr>
      <w:r w:rsidRPr="000B332F">
        <w:rPr>
          <w:rFonts w:cs="Arial"/>
          <w:sz w:val="18"/>
          <w:szCs w:val="18"/>
          <w:lang w:val="fr-CH"/>
        </w:rPr>
        <w:t>In case of a long term inability to deliver or in case of an impending initiation of insolvency or a comparable situation for the vendor, APAG is authorized to step out of the part of the contract pertaining to the not yet fulfilled section.</w:t>
      </w:r>
    </w:p>
    <w:p w:rsidR="000B332F" w:rsidRPr="000B332F" w:rsidRDefault="000B332F" w:rsidP="000B332F">
      <w:pPr>
        <w:widowControl w:val="0"/>
        <w:autoSpaceDE w:val="0"/>
        <w:autoSpaceDN w:val="0"/>
        <w:adjustRightInd w:val="0"/>
        <w:spacing w:before="4"/>
        <w:ind w:left="408" w:right="281"/>
        <w:rPr>
          <w:rFonts w:cs="Arial"/>
          <w:sz w:val="18"/>
          <w:szCs w:val="18"/>
          <w:lang w:val="fr-CH"/>
        </w:rPr>
      </w:pPr>
    </w:p>
    <w:p w:rsidR="000B332F" w:rsidRPr="000B332F" w:rsidRDefault="000B332F" w:rsidP="000B332F">
      <w:pPr>
        <w:widowControl w:val="0"/>
        <w:autoSpaceDE w:val="0"/>
        <w:autoSpaceDN w:val="0"/>
        <w:adjustRightInd w:val="0"/>
        <w:spacing w:before="5" w:line="200" w:lineRule="exact"/>
        <w:ind w:left="408"/>
        <w:rPr>
          <w:rFonts w:cs="Arial"/>
          <w:sz w:val="18"/>
          <w:szCs w:val="18"/>
          <w:lang w:val="fr-CH"/>
        </w:rPr>
      </w:pPr>
      <w:r w:rsidRPr="000B332F">
        <w:rPr>
          <w:rFonts w:cs="Arial"/>
          <w:sz w:val="18"/>
          <w:szCs w:val="18"/>
          <w:lang w:val="fr-CH"/>
        </w:rPr>
        <w:t xml:space="preserve">Should the vendor be afflicted by one of the aforementioned occurrences, he is obliged to assist APAG or a third party with storage of the production yet to be delivered, inclusive of the transfer of trade requirements necessary for (safety) rights of production. </w:t>
      </w:r>
    </w:p>
    <w:p w:rsidR="000B332F" w:rsidRPr="000B332F" w:rsidRDefault="000B332F" w:rsidP="000B332F">
      <w:pPr>
        <w:widowControl w:val="0"/>
        <w:autoSpaceDE w:val="0"/>
        <w:autoSpaceDN w:val="0"/>
        <w:adjustRightInd w:val="0"/>
        <w:spacing w:line="200" w:lineRule="exact"/>
        <w:rPr>
          <w:rFonts w:cs="Arial"/>
          <w:sz w:val="20"/>
          <w:lang w:val="fr-CH"/>
        </w:rPr>
      </w:pPr>
    </w:p>
    <w:p w:rsidR="000B332F" w:rsidRDefault="000B332F" w:rsidP="00647141">
      <w:pPr>
        <w:pStyle w:val="Nadpis1"/>
        <w:pageBreakBefore w:val="0"/>
        <w:numPr>
          <w:ilvl w:val="0"/>
          <w:numId w:val="6"/>
        </w:numPr>
        <w:rPr>
          <w:sz w:val="20"/>
          <w:lang w:val="fr-CH"/>
        </w:rPr>
      </w:pPr>
      <w:bookmarkStart w:id="14" w:name="_Toc528138543"/>
      <w:r w:rsidRPr="00647141">
        <w:rPr>
          <w:sz w:val="20"/>
          <w:lang w:val="fr-CH"/>
        </w:rPr>
        <w:t>Salvatorious clause</w:t>
      </w:r>
      <w:bookmarkEnd w:id="14"/>
      <w:r w:rsidRPr="00647141">
        <w:rPr>
          <w:sz w:val="20"/>
          <w:lang w:val="fr-CH"/>
        </w:rPr>
        <w:t xml:space="preserve">  </w:t>
      </w:r>
    </w:p>
    <w:p w:rsidR="00647141" w:rsidRPr="00647141" w:rsidRDefault="00647141" w:rsidP="00647141">
      <w:pPr>
        <w:pStyle w:val="Normlnodsazen"/>
        <w:rPr>
          <w:lang w:val="fr-CH"/>
        </w:rPr>
      </w:pPr>
    </w:p>
    <w:p w:rsidR="000B332F" w:rsidRPr="000B332F" w:rsidRDefault="000B332F" w:rsidP="000B332F">
      <w:pPr>
        <w:widowControl w:val="0"/>
        <w:autoSpaceDE w:val="0"/>
        <w:autoSpaceDN w:val="0"/>
        <w:adjustRightInd w:val="0"/>
        <w:spacing w:before="10" w:line="206" w:lineRule="exact"/>
        <w:ind w:left="408" w:right="280"/>
        <w:rPr>
          <w:rFonts w:cs="Arial"/>
          <w:sz w:val="18"/>
          <w:szCs w:val="18"/>
          <w:lang w:val="fr-CH"/>
        </w:rPr>
      </w:pPr>
      <w:r w:rsidRPr="000B332F">
        <w:rPr>
          <w:rFonts w:cs="Arial"/>
          <w:sz w:val="18"/>
          <w:szCs w:val="18"/>
          <w:lang w:val="fr-CH"/>
        </w:rPr>
        <w:t>Should one of the aforementioned provisions or individual provisions of the contract be unworkable, the balance provisions (of this AEB or contract) are hereby not to be affected (changed). The parties are obliged in such cases to agree upon regulations that correspond to the best workable in sense and purpose.</w:t>
      </w:r>
    </w:p>
    <w:p w:rsidR="000B332F" w:rsidRPr="000B332F" w:rsidRDefault="000B332F" w:rsidP="000B332F">
      <w:pPr>
        <w:widowControl w:val="0"/>
        <w:autoSpaceDE w:val="0"/>
        <w:autoSpaceDN w:val="0"/>
        <w:adjustRightInd w:val="0"/>
        <w:spacing w:before="10" w:line="206" w:lineRule="exact"/>
        <w:ind w:left="408" w:right="280"/>
        <w:rPr>
          <w:rFonts w:cs="Arial"/>
          <w:sz w:val="18"/>
          <w:szCs w:val="18"/>
          <w:lang w:val="fr-CH"/>
        </w:rPr>
      </w:pPr>
    </w:p>
    <w:p w:rsidR="000B332F" w:rsidRPr="00647141" w:rsidRDefault="000B332F" w:rsidP="00647141">
      <w:pPr>
        <w:pStyle w:val="Nadpis1"/>
        <w:pageBreakBefore w:val="0"/>
        <w:numPr>
          <w:ilvl w:val="0"/>
          <w:numId w:val="6"/>
        </w:numPr>
        <w:rPr>
          <w:sz w:val="20"/>
          <w:lang w:val="fr-CH"/>
        </w:rPr>
      </w:pPr>
      <w:bookmarkStart w:id="15" w:name="_Toc528138544"/>
      <w:r w:rsidRPr="00647141">
        <w:rPr>
          <w:sz w:val="20"/>
          <w:lang w:val="fr-CH"/>
        </w:rPr>
        <w:t>Applicable law and jurisdiction</w:t>
      </w:r>
      <w:bookmarkEnd w:id="15"/>
    </w:p>
    <w:p w:rsidR="000B332F" w:rsidRPr="000B332F" w:rsidRDefault="000B332F" w:rsidP="000B332F">
      <w:pPr>
        <w:widowControl w:val="0"/>
        <w:autoSpaceDE w:val="0"/>
        <w:autoSpaceDN w:val="0"/>
        <w:adjustRightInd w:val="0"/>
        <w:spacing w:before="4"/>
        <w:ind w:left="408" w:right="280"/>
        <w:rPr>
          <w:rFonts w:cs="Arial"/>
          <w:sz w:val="18"/>
          <w:szCs w:val="18"/>
          <w:lang w:val="fr-CH"/>
        </w:rPr>
      </w:pPr>
      <w:r w:rsidRPr="000B332F">
        <w:rPr>
          <w:rFonts w:cs="Arial"/>
          <w:sz w:val="18"/>
          <w:szCs w:val="18"/>
          <w:lang w:val="fr-CH"/>
        </w:rPr>
        <w:t>All legal relationships between the parties are subject to the Swiss law excluding the United Nations Convention on Contracts for the International Sale of Goods dated 11</w:t>
      </w:r>
      <w:r w:rsidRPr="000B332F">
        <w:rPr>
          <w:rFonts w:cs="Arial"/>
          <w:sz w:val="18"/>
          <w:szCs w:val="18"/>
          <w:vertAlign w:val="superscript"/>
          <w:lang w:val="fr-CH"/>
        </w:rPr>
        <w:t>th</w:t>
      </w:r>
      <w:r w:rsidRPr="000B332F">
        <w:rPr>
          <w:rFonts w:cs="Arial"/>
          <w:sz w:val="18"/>
          <w:szCs w:val="18"/>
          <w:lang w:val="fr-CH"/>
        </w:rPr>
        <w:t xml:space="preserve"> April 1980 (Article 6 UNKR).</w:t>
      </w:r>
    </w:p>
    <w:p w:rsidR="000B332F" w:rsidRPr="000B332F" w:rsidRDefault="000B332F" w:rsidP="000B332F">
      <w:pPr>
        <w:widowControl w:val="0"/>
        <w:autoSpaceDE w:val="0"/>
        <w:autoSpaceDN w:val="0"/>
        <w:adjustRightInd w:val="0"/>
        <w:spacing w:before="4"/>
        <w:ind w:left="408" w:right="280"/>
        <w:rPr>
          <w:rFonts w:cs="Arial"/>
          <w:sz w:val="18"/>
          <w:szCs w:val="18"/>
          <w:lang w:val="fr-CH"/>
        </w:rPr>
      </w:pPr>
    </w:p>
    <w:p w:rsidR="000B332F" w:rsidRDefault="000B332F" w:rsidP="000B332F">
      <w:pPr>
        <w:widowControl w:val="0"/>
        <w:autoSpaceDE w:val="0"/>
        <w:autoSpaceDN w:val="0"/>
        <w:adjustRightInd w:val="0"/>
        <w:spacing w:line="243" w:lineRule="auto"/>
        <w:ind w:left="408" w:right="280"/>
        <w:rPr>
          <w:rFonts w:cs="Arial"/>
          <w:spacing w:val="-1"/>
          <w:w w:val="108"/>
          <w:sz w:val="18"/>
          <w:szCs w:val="18"/>
          <w:lang w:val="fr-CH"/>
        </w:rPr>
      </w:pPr>
      <w:r w:rsidRPr="00DF50F4">
        <w:rPr>
          <w:rFonts w:cs="Arial"/>
          <w:spacing w:val="-1"/>
          <w:w w:val="108"/>
          <w:sz w:val="18"/>
          <w:szCs w:val="18"/>
          <w:lang w:val="en-US"/>
        </w:rPr>
        <w:t xml:space="preserve">The legal domicile for all disputes from and in relation to the contract relationship is </w:t>
      </w:r>
      <w:r w:rsidR="00DF50F4">
        <w:rPr>
          <w:rFonts w:cs="Arial"/>
          <w:spacing w:val="-1"/>
          <w:w w:val="108"/>
          <w:sz w:val="18"/>
          <w:szCs w:val="18"/>
          <w:lang w:val="en-US"/>
        </w:rPr>
        <w:t>Pfäffikon</w:t>
      </w:r>
      <w:r w:rsidRPr="00DF50F4">
        <w:rPr>
          <w:rFonts w:cs="Arial"/>
          <w:spacing w:val="-1"/>
          <w:w w:val="108"/>
          <w:sz w:val="18"/>
          <w:szCs w:val="18"/>
          <w:lang w:val="en-US"/>
        </w:rPr>
        <w:t xml:space="preserve"> (CH-8</w:t>
      </w:r>
      <w:r w:rsidR="00DF50F4">
        <w:rPr>
          <w:rFonts w:cs="Arial"/>
          <w:spacing w:val="-1"/>
          <w:w w:val="108"/>
          <w:sz w:val="18"/>
          <w:szCs w:val="18"/>
          <w:lang w:val="en-US"/>
        </w:rPr>
        <w:t>808</w:t>
      </w:r>
      <w:r w:rsidRPr="00DF50F4">
        <w:rPr>
          <w:rFonts w:cs="Arial"/>
          <w:spacing w:val="-1"/>
          <w:w w:val="108"/>
          <w:sz w:val="18"/>
          <w:szCs w:val="18"/>
          <w:lang w:val="en-US"/>
        </w:rPr>
        <w:t xml:space="preserve">), Switzerland. </w:t>
      </w:r>
      <w:r w:rsidRPr="000B332F">
        <w:rPr>
          <w:rFonts w:cs="Arial"/>
          <w:spacing w:val="-1"/>
          <w:w w:val="108"/>
          <w:sz w:val="18"/>
          <w:szCs w:val="18"/>
          <w:lang w:val="fr-CH"/>
        </w:rPr>
        <w:t>APAG is however entitled to bring the vendor to justice at any other competent court.</w:t>
      </w:r>
    </w:p>
    <w:p w:rsidR="009B33BC" w:rsidRDefault="009B33BC" w:rsidP="000B332F">
      <w:pPr>
        <w:widowControl w:val="0"/>
        <w:autoSpaceDE w:val="0"/>
        <w:autoSpaceDN w:val="0"/>
        <w:adjustRightInd w:val="0"/>
        <w:spacing w:line="243" w:lineRule="auto"/>
        <w:ind w:left="408" w:right="280"/>
        <w:rPr>
          <w:rFonts w:cs="Arial"/>
          <w:spacing w:val="-1"/>
          <w:w w:val="108"/>
          <w:sz w:val="18"/>
          <w:szCs w:val="18"/>
          <w:lang w:val="fr-CH"/>
        </w:rPr>
      </w:pPr>
    </w:p>
    <w:p w:rsidR="006A442D" w:rsidRPr="000B332F" w:rsidRDefault="006A442D" w:rsidP="00666340">
      <w:pPr>
        <w:pStyle w:val="Normlnodsazen"/>
        <w:ind w:left="0"/>
        <w:rPr>
          <w:lang w:val="fr-CH"/>
        </w:rPr>
      </w:pPr>
    </w:p>
    <w:p w:rsidR="00271442" w:rsidRDefault="00271442" w:rsidP="00666340">
      <w:pPr>
        <w:pStyle w:val="Normlnodsazen"/>
        <w:ind w:left="0"/>
        <w:rPr>
          <w:lang w:val="fr-CH"/>
        </w:rPr>
      </w:pPr>
    </w:p>
    <w:p w:rsidR="00647141" w:rsidRDefault="00647141" w:rsidP="00666340">
      <w:pPr>
        <w:pStyle w:val="Normlnodsazen"/>
        <w:ind w:left="0"/>
        <w:rPr>
          <w:lang w:val="fr-CH"/>
        </w:rPr>
      </w:pPr>
    </w:p>
    <w:p w:rsidR="00647141" w:rsidRDefault="00647141" w:rsidP="00666340">
      <w:pPr>
        <w:pStyle w:val="Normlnodsazen"/>
        <w:ind w:left="0"/>
        <w:rPr>
          <w:lang w:val="fr-CH"/>
        </w:rPr>
      </w:pPr>
    </w:p>
    <w:p w:rsidR="00647141" w:rsidRDefault="00647141" w:rsidP="00666340">
      <w:pPr>
        <w:pStyle w:val="Normlnodsazen"/>
        <w:ind w:left="0"/>
        <w:rPr>
          <w:lang w:val="fr-CH"/>
        </w:rPr>
      </w:pPr>
    </w:p>
    <w:p w:rsidR="00647141" w:rsidRDefault="00647141" w:rsidP="00666340">
      <w:pPr>
        <w:pStyle w:val="Normlnodsazen"/>
        <w:ind w:left="0"/>
        <w:rPr>
          <w:lang w:val="fr-CH"/>
        </w:rPr>
      </w:pPr>
    </w:p>
    <w:p w:rsidR="00593C4E" w:rsidRDefault="00593C4E" w:rsidP="00666340">
      <w:pPr>
        <w:pStyle w:val="Normlnodsazen"/>
        <w:ind w:left="0"/>
        <w:rPr>
          <w:lang w:val="fr-CH"/>
        </w:rPr>
      </w:pPr>
    </w:p>
    <w:p w:rsidR="00593C4E" w:rsidRDefault="00593C4E" w:rsidP="00666340">
      <w:pPr>
        <w:pStyle w:val="Normlnodsazen"/>
        <w:ind w:left="0"/>
        <w:rPr>
          <w:lang w:val="fr-CH"/>
        </w:rPr>
      </w:pPr>
    </w:p>
    <w:p w:rsidR="00593C4E" w:rsidRDefault="00593C4E" w:rsidP="00666340">
      <w:pPr>
        <w:pStyle w:val="Normlnodsazen"/>
        <w:ind w:left="0"/>
        <w:rPr>
          <w:lang w:val="fr-CH"/>
        </w:rPr>
      </w:pPr>
    </w:p>
    <w:p w:rsidR="00593C4E" w:rsidRDefault="00593C4E" w:rsidP="00666340">
      <w:pPr>
        <w:pStyle w:val="Normlnodsazen"/>
        <w:ind w:left="0"/>
        <w:rPr>
          <w:lang w:val="fr-CH"/>
        </w:rPr>
      </w:pPr>
    </w:p>
    <w:p w:rsidR="00593C4E" w:rsidRDefault="00593C4E" w:rsidP="00666340">
      <w:pPr>
        <w:pStyle w:val="Normlnodsazen"/>
        <w:ind w:left="0"/>
        <w:rPr>
          <w:lang w:val="fr-CH"/>
        </w:rPr>
      </w:pPr>
    </w:p>
    <w:p w:rsidR="00593C4E" w:rsidRDefault="00593C4E" w:rsidP="00666340">
      <w:pPr>
        <w:pStyle w:val="Normlnodsazen"/>
        <w:ind w:left="0"/>
        <w:rPr>
          <w:lang w:val="fr-CH"/>
        </w:rPr>
      </w:pPr>
    </w:p>
    <w:p w:rsidR="00647141" w:rsidRDefault="00647141" w:rsidP="00666340">
      <w:pPr>
        <w:pStyle w:val="Normlnodsazen"/>
        <w:ind w:left="0"/>
        <w:rPr>
          <w:lang w:val="fr-CH"/>
        </w:rPr>
      </w:pPr>
    </w:p>
    <w:p w:rsidR="00647141" w:rsidRDefault="00647141" w:rsidP="00666340">
      <w:pPr>
        <w:pStyle w:val="Normlnodsazen"/>
        <w:ind w:left="0"/>
        <w:rPr>
          <w:lang w:val="fr-CH"/>
        </w:rPr>
      </w:pPr>
    </w:p>
    <w:p w:rsidR="00647141" w:rsidRPr="000B332F" w:rsidRDefault="00647141" w:rsidP="00666340">
      <w:pPr>
        <w:pStyle w:val="Normlnodsazen"/>
        <w:ind w:left="0"/>
        <w:rPr>
          <w:lang w:val="fr-CH"/>
        </w:rPr>
      </w:pPr>
    </w:p>
    <w:p w:rsidR="00271442" w:rsidRPr="009D4AC2" w:rsidRDefault="00271442" w:rsidP="00271442">
      <w:pPr>
        <w:pStyle w:val="Nadpis1"/>
        <w:pageBreakBefore w:val="0"/>
        <w:rPr>
          <w:sz w:val="20"/>
          <w:lang w:val="fr-CH"/>
        </w:rPr>
      </w:pPr>
      <w:bookmarkStart w:id="16" w:name="_Toc528138545"/>
      <w:r>
        <w:rPr>
          <w:sz w:val="20"/>
          <w:lang w:val="fr-CH"/>
        </w:rPr>
        <w:t>Document History</w:t>
      </w:r>
      <w:bookmarkEnd w:id="16"/>
    </w:p>
    <w:p w:rsidR="00271442" w:rsidRDefault="00271442" w:rsidP="00271442">
      <w:pPr>
        <w:pStyle w:val="Normlnodsazen"/>
        <w:rPr>
          <w:sz w:val="18"/>
          <w:szCs w:val="18"/>
          <w:lang w:val="de-CH"/>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5812"/>
        <w:gridCol w:w="850"/>
      </w:tblGrid>
      <w:tr w:rsidR="00271442" w:rsidRPr="003B329D" w:rsidTr="00CA1795">
        <w:trPr>
          <w:trHeight w:hRule="exact" w:val="227"/>
        </w:trPr>
        <w:tc>
          <w:tcPr>
            <w:tcW w:w="1843" w:type="dxa"/>
            <w:shd w:val="clear" w:color="auto" w:fill="auto"/>
            <w:vAlign w:val="center"/>
          </w:tcPr>
          <w:p w:rsidR="00271442" w:rsidRPr="00357849" w:rsidRDefault="00271442" w:rsidP="00CA1795">
            <w:pPr>
              <w:pStyle w:val="Zpat"/>
              <w:spacing w:after="40"/>
              <w:jc w:val="center"/>
              <w:rPr>
                <w:i/>
                <w:sz w:val="14"/>
                <w:szCs w:val="14"/>
              </w:rPr>
            </w:pPr>
            <w:r>
              <w:rPr>
                <w:b/>
                <w:sz w:val="14"/>
                <w:szCs w:val="14"/>
              </w:rPr>
              <w:t>Change-</w:t>
            </w:r>
            <w:r w:rsidRPr="003B329D">
              <w:rPr>
                <w:b/>
                <w:sz w:val="14"/>
                <w:szCs w:val="14"/>
              </w:rPr>
              <w:t>Date:</w:t>
            </w:r>
          </w:p>
        </w:tc>
        <w:tc>
          <w:tcPr>
            <w:tcW w:w="1134" w:type="dxa"/>
            <w:shd w:val="clear" w:color="auto" w:fill="auto"/>
            <w:vAlign w:val="center"/>
          </w:tcPr>
          <w:p w:rsidR="00271442" w:rsidRPr="003B329D" w:rsidRDefault="00271442" w:rsidP="00CA1795">
            <w:pPr>
              <w:pStyle w:val="Zpat"/>
              <w:spacing w:after="40"/>
              <w:jc w:val="center"/>
              <w:rPr>
                <w:b/>
                <w:sz w:val="14"/>
                <w:szCs w:val="14"/>
              </w:rPr>
            </w:pPr>
            <w:proofErr w:type="spellStart"/>
            <w:r>
              <w:rPr>
                <w:b/>
                <w:sz w:val="14"/>
                <w:szCs w:val="14"/>
              </w:rPr>
              <w:t>Released</w:t>
            </w:r>
            <w:proofErr w:type="spellEnd"/>
            <w:r>
              <w:rPr>
                <w:b/>
                <w:sz w:val="14"/>
                <w:szCs w:val="14"/>
              </w:rPr>
              <w:t xml:space="preserve"> </w:t>
            </w:r>
            <w:proofErr w:type="spellStart"/>
            <w:r>
              <w:rPr>
                <w:b/>
                <w:sz w:val="14"/>
                <w:szCs w:val="14"/>
              </w:rPr>
              <w:t>by</w:t>
            </w:r>
            <w:proofErr w:type="spellEnd"/>
            <w:r>
              <w:rPr>
                <w:b/>
                <w:sz w:val="14"/>
                <w:szCs w:val="14"/>
              </w:rPr>
              <w:t xml:space="preserve"> </w:t>
            </w:r>
          </w:p>
        </w:tc>
        <w:tc>
          <w:tcPr>
            <w:tcW w:w="5812" w:type="dxa"/>
            <w:shd w:val="clear" w:color="auto" w:fill="auto"/>
            <w:vAlign w:val="center"/>
          </w:tcPr>
          <w:p w:rsidR="00271442" w:rsidRPr="0036604A" w:rsidRDefault="00271442" w:rsidP="00CA1795">
            <w:pPr>
              <w:pStyle w:val="Zpat"/>
              <w:spacing w:after="40"/>
              <w:jc w:val="center"/>
              <w:rPr>
                <w:b/>
                <w:sz w:val="14"/>
                <w:szCs w:val="14"/>
                <w:lang w:val="fr-CH"/>
              </w:rPr>
            </w:pPr>
            <w:r>
              <w:rPr>
                <w:b/>
                <w:sz w:val="14"/>
                <w:szCs w:val="14"/>
              </w:rPr>
              <w:t xml:space="preserve">Change </w:t>
            </w:r>
            <w:proofErr w:type="spellStart"/>
            <w:r>
              <w:rPr>
                <w:b/>
                <w:sz w:val="14"/>
                <w:szCs w:val="14"/>
              </w:rPr>
              <w:t>Reason</w:t>
            </w:r>
            <w:proofErr w:type="spellEnd"/>
          </w:p>
        </w:tc>
        <w:tc>
          <w:tcPr>
            <w:tcW w:w="850" w:type="dxa"/>
            <w:shd w:val="clear" w:color="auto" w:fill="auto"/>
            <w:vAlign w:val="center"/>
          </w:tcPr>
          <w:p w:rsidR="00271442" w:rsidRPr="003B329D" w:rsidRDefault="00271442" w:rsidP="00CA1795">
            <w:pPr>
              <w:pStyle w:val="Zpat"/>
              <w:spacing w:after="40"/>
              <w:jc w:val="center"/>
              <w:rPr>
                <w:b/>
                <w:sz w:val="14"/>
                <w:szCs w:val="14"/>
              </w:rPr>
            </w:pPr>
            <w:r>
              <w:rPr>
                <w:b/>
                <w:sz w:val="14"/>
                <w:szCs w:val="14"/>
              </w:rPr>
              <w:t>Version</w:t>
            </w:r>
          </w:p>
        </w:tc>
      </w:tr>
      <w:tr w:rsidR="00271442" w:rsidRPr="009D4AC2" w:rsidTr="00CA1795">
        <w:trPr>
          <w:trHeight w:hRule="exact" w:val="227"/>
        </w:trPr>
        <w:tc>
          <w:tcPr>
            <w:tcW w:w="1843" w:type="dxa"/>
            <w:shd w:val="clear" w:color="auto" w:fill="auto"/>
            <w:vAlign w:val="center"/>
          </w:tcPr>
          <w:p w:rsidR="00271442" w:rsidRPr="009D4AC2" w:rsidRDefault="00647141" w:rsidP="00CA1795">
            <w:pPr>
              <w:pStyle w:val="Zpat"/>
              <w:spacing w:after="40"/>
              <w:jc w:val="center"/>
              <w:rPr>
                <w:sz w:val="14"/>
                <w:szCs w:val="14"/>
              </w:rPr>
            </w:pPr>
            <w:r>
              <w:rPr>
                <w:sz w:val="14"/>
                <w:szCs w:val="14"/>
              </w:rPr>
              <w:t>10.10.2014</w:t>
            </w:r>
          </w:p>
        </w:tc>
        <w:tc>
          <w:tcPr>
            <w:tcW w:w="1134" w:type="dxa"/>
            <w:shd w:val="clear" w:color="auto" w:fill="auto"/>
            <w:vAlign w:val="center"/>
          </w:tcPr>
          <w:p w:rsidR="00271442" w:rsidRPr="009D4AC2" w:rsidRDefault="00647141" w:rsidP="00CA1795">
            <w:pPr>
              <w:pStyle w:val="Zpat"/>
              <w:spacing w:after="40"/>
              <w:jc w:val="center"/>
              <w:rPr>
                <w:sz w:val="14"/>
                <w:szCs w:val="14"/>
              </w:rPr>
            </w:pPr>
            <w:r>
              <w:rPr>
                <w:sz w:val="14"/>
                <w:szCs w:val="14"/>
              </w:rPr>
              <w:t>KS</w:t>
            </w:r>
          </w:p>
        </w:tc>
        <w:tc>
          <w:tcPr>
            <w:tcW w:w="5812" w:type="dxa"/>
            <w:shd w:val="clear" w:color="auto" w:fill="auto"/>
            <w:vAlign w:val="center"/>
          </w:tcPr>
          <w:p w:rsidR="00271442" w:rsidRPr="009D4AC2" w:rsidRDefault="00647141" w:rsidP="00CA1795">
            <w:pPr>
              <w:pStyle w:val="Zpat"/>
              <w:spacing w:after="40"/>
              <w:jc w:val="center"/>
              <w:rPr>
                <w:sz w:val="14"/>
                <w:szCs w:val="14"/>
                <w:lang w:val="de-CH"/>
              </w:rPr>
            </w:pPr>
            <w:r>
              <w:rPr>
                <w:sz w:val="14"/>
                <w:szCs w:val="14"/>
                <w:lang w:val="de-CH"/>
              </w:rPr>
              <w:t xml:space="preserve">English </w:t>
            </w:r>
            <w:proofErr w:type="spellStart"/>
            <w:r>
              <w:rPr>
                <w:sz w:val="14"/>
                <w:szCs w:val="14"/>
                <w:lang w:val="de-CH"/>
              </w:rPr>
              <w:t>edition</w:t>
            </w:r>
            <w:proofErr w:type="spellEnd"/>
          </w:p>
        </w:tc>
        <w:tc>
          <w:tcPr>
            <w:tcW w:w="850" w:type="dxa"/>
            <w:shd w:val="clear" w:color="auto" w:fill="auto"/>
            <w:vAlign w:val="center"/>
          </w:tcPr>
          <w:p w:rsidR="00271442" w:rsidRPr="009D4AC2" w:rsidRDefault="00647141" w:rsidP="00CA1795">
            <w:pPr>
              <w:pStyle w:val="Zpat"/>
              <w:spacing w:after="40"/>
              <w:jc w:val="center"/>
              <w:rPr>
                <w:sz w:val="14"/>
                <w:szCs w:val="14"/>
              </w:rPr>
            </w:pPr>
            <w:r>
              <w:rPr>
                <w:sz w:val="14"/>
                <w:szCs w:val="14"/>
              </w:rPr>
              <w:t>A</w:t>
            </w:r>
          </w:p>
        </w:tc>
      </w:tr>
      <w:tr w:rsidR="00593C4E" w:rsidRPr="009D4AC2" w:rsidTr="00CA1795">
        <w:trPr>
          <w:trHeight w:hRule="exact" w:val="227"/>
        </w:trPr>
        <w:tc>
          <w:tcPr>
            <w:tcW w:w="1843" w:type="dxa"/>
            <w:shd w:val="clear" w:color="auto" w:fill="auto"/>
            <w:vAlign w:val="center"/>
          </w:tcPr>
          <w:p w:rsidR="00593C4E" w:rsidRDefault="00D06DFE" w:rsidP="00CA1795">
            <w:pPr>
              <w:pStyle w:val="Zpat"/>
              <w:spacing w:after="40"/>
              <w:jc w:val="center"/>
              <w:rPr>
                <w:sz w:val="14"/>
                <w:szCs w:val="14"/>
              </w:rPr>
            </w:pPr>
            <w:r>
              <w:rPr>
                <w:sz w:val="14"/>
                <w:szCs w:val="14"/>
              </w:rPr>
              <w:t>19.10.2018</w:t>
            </w:r>
          </w:p>
        </w:tc>
        <w:tc>
          <w:tcPr>
            <w:tcW w:w="1134" w:type="dxa"/>
            <w:shd w:val="clear" w:color="auto" w:fill="auto"/>
            <w:vAlign w:val="center"/>
          </w:tcPr>
          <w:p w:rsidR="00593C4E" w:rsidRDefault="00593C4E" w:rsidP="00CA1795">
            <w:pPr>
              <w:pStyle w:val="Zpat"/>
              <w:spacing w:after="40"/>
              <w:jc w:val="center"/>
              <w:rPr>
                <w:sz w:val="14"/>
                <w:szCs w:val="14"/>
              </w:rPr>
            </w:pPr>
            <w:r>
              <w:rPr>
                <w:sz w:val="14"/>
                <w:szCs w:val="14"/>
              </w:rPr>
              <w:t>KS</w:t>
            </w:r>
            <w:r w:rsidR="00D06DFE">
              <w:rPr>
                <w:sz w:val="14"/>
                <w:szCs w:val="14"/>
              </w:rPr>
              <w:t>, STU</w:t>
            </w:r>
          </w:p>
        </w:tc>
        <w:tc>
          <w:tcPr>
            <w:tcW w:w="5812" w:type="dxa"/>
            <w:shd w:val="clear" w:color="auto" w:fill="auto"/>
            <w:vAlign w:val="center"/>
          </w:tcPr>
          <w:p w:rsidR="00593C4E" w:rsidRPr="00DF50F4" w:rsidRDefault="00593C4E" w:rsidP="00CA1795">
            <w:pPr>
              <w:pStyle w:val="Zpat"/>
              <w:spacing w:after="40"/>
              <w:jc w:val="center"/>
              <w:rPr>
                <w:sz w:val="14"/>
                <w:szCs w:val="14"/>
                <w:lang w:val="en-US"/>
              </w:rPr>
            </w:pPr>
            <w:r w:rsidRPr="00DF50F4">
              <w:rPr>
                <w:sz w:val="14"/>
                <w:szCs w:val="14"/>
                <w:lang w:val="en-US"/>
              </w:rPr>
              <w:t xml:space="preserve">Update logo, number of </w:t>
            </w:r>
            <w:proofErr w:type="gramStart"/>
            <w:r w:rsidRPr="00DF50F4">
              <w:rPr>
                <w:sz w:val="14"/>
                <w:szCs w:val="14"/>
                <w:lang w:val="en-US"/>
              </w:rPr>
              <w:t>document</w:t>
            </w:r>
            <w:proofErr w:type="gramEnd"/>
            <w:r w:rsidRPr="00DF50F4">
              <w:rPr>
                <w:sz w:val="14"/>
                <w:szCs w:val="14"/>
                <w:lang w:val="en-US"/>
              </w:rPr>
              <w:t>, revision of contents</w:t>
            </w:r>
            <w:r w:rsidR="00D06DFE">
              <w:rPr>
                <w:sz w:val="14"/>
                <w:szCs w:val="14"/>
                <w:lang w:val="en-US"/>
              </w:rPr>
              <w:t xml:space="preserve">, </w:t>
            </w:r>
            <w:proofErr w:type="spellStart"/>
            <w:r w:rsidR="00D06DFE">
              <w:rPr>
                <w:sz w:val="14"/>
                <w:szCs w:val="14"/>
                <w:lang w:val="en-US"/>
              </w:rPr>
              <w:t>adddress</w:t>
            </w:r>
            <w:proofErr w:type="spellEnd"/>
          </w:p>
        </w:tc>
        <w:tc>
          <w:tcPr>
            <w:tcW w:w="850" w:type="dxa"/>
            <w:shd w:val="clear" w:color="auto" w:fill="auto"/>
            <w:vAlign w:val="center"/>
          </w:tcPr>
          <w:p w:rsidR="00593C4E" w:rsidRDefault="00593C4E" w:rsidP="00CA1795">
            <w:pPr>
              <w:pStyle w:val="Zpat"/>
              <w:spacing w:after="40"/>
              <w:jc w:val="center"/>
              <w:rPr>
                <w:sz w:val="14"/>
                <w:szCs w:val="14"/>
              </w:rPr>
            </w:pPr>
            <w:r>
              <w:rPr>
                <w:sz w:val="14"/>
                <w:szCs w:val="14"/>
              </w:rPr>
              <w:t>B</w:t>
            </w:r>
          </w:p>
        </w:tc>
      </w:tr>
    </w:tbl>
    <w:p w:rsidR="00593C4E" w:rsidRDefault="00593C4E" w:rsidP="00666340">
      <w:pPr>
        <w:pStyle w:val="Normlnodsazen"/>
        <w:ind w:left="0"/>
      </w:pPr>
    </w:p>
    <w:p w:rsidR="00593C4E" w:rsidRPr="00593C4E" w:rsidRDefault="00D06DFE" w:rsidP="00D06DFE">
      <w:pPr>
        <w:tabs>
          <w:tab w:val="left" w:pos="3460"/>
        </w:tabs>
      </w:pPr>
      <w:r>
        <w:tab/>
      </w:r>
    </w:p>
    <w:p w:rsidR="00593C4E" w:rsidRDefault="00593C4E" w:rsidP="00593C4E"/>
    <w:p w:rsidR="004A51DA" w:rsidRPr="00593C4E" w:rsidRDefault="00593C4E" w:rsidP="00593C4E">
      <w:pPr>
        <w:tabs>
          <w:tab w:val="left" w:pos="6457"/>
        </w:tabs>
      </w:pPr>
      <w:r>
        <w:tab/>
      </w:r>
    </w:p>
    <w:p w:rsidR="00EE427B" w:rsidRDefault="00EE427B">
      <w:pPr>
        <w:rPr>
          <w:vanish/>
          <w:color w:val="FF0000"/>
        </w:rPr>
      </w:pPr>
      <w:r>
        <w:rPr>
          <w:vanish/>
          <w:color w:val="FF0000"/>
        </w:rPr>
        <w:t xml:space="preserve">Löschen Sie nicht die folgende rote Absatzmarke (sie enthält Layoutinformationen)  </w:t>
      </w:r>
    </w:p>
    <w:sectPr w:rsidR="00EE427B" w:rsidSect="00CF11B0">
      <w:headerReference w:type="default" r:id="rId8"/>
      <w:footerReference w:type="default" r:id="rId9"/>
      <w:pgSz w:w="11907" w:h="16840" w:code="9"/>
      <w:pgMar w:top="2091" w:right="1021" w:bottom="568" w:left="1247" w:header="851" w:footer="638" w:gutter="0"/>
      <w:paperSrc w:first="1" w:other="1"/>
      <w:pgBorders w:offsetFrom="page">
        <w:top w:val="dotted" w:sz="4" w:space="24" w:color="auto"/>
        <w:left w:val="dotted" w:sz="4" w:space="24" w:color="auto"/>
        <w:bottom w:val="dotted" w:sz="4" w:space="24" w:color="auto"/>
        <w:right w:val="dotted"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5B4" w:rsidRDefault="00E855B4">
      <w:r>
        <w:separator/>
      </w:r>
    </w:p>
  </w:endnote>
  <w:endnote w:type="continuationSeparator" w:id="0">
    <w:p w:rsidR="00E855B4" w:rsidRDefault="00E8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219"/>
      <w:gridCol w:w="830"/>
      <w:gridCol w:w="1211"/>
      <w:gridCol w:w="1843"/>
      <w:gridCol w:w="3118"/>
      <w:gridCol w:w="641"/>
    </w:tblGrid>
    <w:tr w:rsidR="00F12F3E" w:rsidRPr="00F12F3E" w:rsidTr="006413D9">
      <w:trPr>
        <w:trHeight w:hRule="exact" w:val="227"/>
      </w:trPr>
      <w:tc>
        <w:tcPr>
          <w:tcW w:w="1419" w:type="dxa"/>
          <w:shd w:val="clear" w:color="auto" w:fill="auto"/>
          <w:vAlign w:val="center"/>
        </w:tcPr>
        <w:p w:rsidR="00F12F3E" w:rsidRPr="00F12F3E" w:rsidRDefault="00F12F3E" w:rsidP="003227CC">
          <w:pPr>
            <w:pStyle w:val="Zpat"/>
            <w:spacing w:after="40"/>
            <w:jc w:val="right"/>
            <w:rPr>
              <w:b/>
              <w:sz w:val="14"/>
              <w:szCs w:val="14"/>
            </w:rPr>
          </w:pPr>
          <w:r w:rsidRPr="00F12F3E">
            <w:rPr>
              <w:b/>
              <w:sz w:val="14"/>
              <w:szCs w:val="14"/>
            </w:rPr>
            <w:t>Editor:</w:t>
          </w:r>
        </w:p>
      </w:tc>
      <w:tc>
        <w:tcPr>
          <w:tcW w:w="1219" w:type="dxa"/>
          <w:shd w:val="clear" w:color="auto" w:fill="auto"/>
          <w:vAlign w:val="center"/>
        </w:tcPr>
        <w:p w:rsidR="00F12F3E" w:rsidRPr="00F12F3E" w:rsidRDefault="00647141" w:rsidP="001F4D97">
          <w:pPr>
            <w:pStyle w:val="Zpat"/>
            <w:spacing w:after="40"/>
            <w:jc w:val="center"/>
            <w:rPr>
              <w:i/>
              <w:sz w:val="14"/>
              <w:szCs w:val="14"/>
            </w:rPr>
          </w:pPr>
          <w:r>
            <w:rPr>
              <w:i/>
              <w:sz w:val="14"/>
              <w:szCs w:val="14"/>
            </w:rPr>
            <w:t>KS</w:t>
          </w:r>
        </w:p>
      </w:tc>
      <w:tc>
        <w:tcPr>
          <w:tcW w:w="830" w:type="dxa"/>
          <w:shd w:val="clear" w:color="auto" w:fill="auto"/>
          <w:vAlign w:val="center"/>
        </w:tcPr>
        <w:p w:rsidR="00F12F3E" w:rsidRPr="00F12F3E" w:rsidRDefault="00F12F3E" w:rsidP="003227CC">
          <w:pPr>
            <w:pStyle w:val="Zpat"/>
            <w:spacing w:after="40"/>
            <w:jc w:val="right"/>
            <w:rPr>
              <w:b/>
              <w:sz w:val="14"/>
              <w:szCs w:val="14"/>
            </w:rPr>
          </w:pPr>
          <w:r w:rsidRPr="00F12F3E">
            <w:rPr>
              <w:b/>
              <w:sz w:val="14"/>
              <w:szCs w:val="14"/>
            </w:rPr>
            <w:t>Date:</w:t>
          </w:r>
        </w:p>
      </w:tc>
      <w:tc>
        <w:tcPr>
          <w:tcW w:w="1211" w:type="dxa"/>
          <w:shd w:val="clear" w:color="auto" w:fill="auto"/>
          <w:vAlign w:val="center"/>
        </w:tcPr>
        <w:p w:rsidR="00F12F3E" w:rsidRPr="00F12F3E" w:rsidRDefault="00D06DFE" w:rsidP="001F4D97">
          <w:pPr>
            <w:pStyle w:val="Zpat"/>
            <w:spacing w:after="40"/>
            <w:jc w:val="center"/>
            <w:rPr>
              <w:i/>
              <w:sz w:val="14"/>
              <w:szCs w:val="14"/>
            </w:rPr>
          </w:pPr>
          <w:r>
            <w:rPr>
              <w:i/>
              <w:sz w:val="14"/>
              <w:szCs w:val="14"/>
            </w:rPr>
            <w:t>19.10.2018</w:t>
          </w:r>
        </w:p>
      </w:tc>
      <w:tc>
        <w:tcPr>
          <w:tcW w:w="1843" w:type="dxa"/>
          <w:tcBorders>
            <w:bottom w:val="single" w:sz="4" w:space="0" w:color="auto"/>
          </w:tcBorders>
          <w:shd w:val="clear" w:color="auto" w:fill="auto"/>
          <w:vAlign w:val="center"/>
        </w:tcPr>
        <w:p w:rsidR="00F12F3E" w:rsidRPr="00F12F3E" w:rsidRDefault="00F12F3E" w:rsidP="004478EC">
          <w:pPr>
            <w:pStyle w:val="Zpat"/>
            <w:spacing w:after="40"/>
            <w:jc w:val="right"/>
            <w:rPr>
              <w:b/>
              <w:sz w:val="14"/>
              <w:szCs w:val="14"/>
            </w:rPr>
          </w:pPr>
          <w:r w:rsidRPr="00F12F3E">
            <w:rPr>
              <w:b/>
              <w:sz w:val="14"/>
              <w:szCs w:val="14"/>
            </w:rPr>
            <w:t xml:space="preserve">Location </w:t>
          </w:r>
          <w:proofErr w:type="spellStart"/>
          <w:r w:rsidRPr="00F12F3E">
            <w:rPr>
              <w:b/>
              <w:sz w:val="14"/>
              <w:szCs w:val="14"/>
            </w:rPr>
            <w:t>Validity</w:t>
          </w:r>
          <w:proofErr w:type="spellEnd"/>
          <w:r w:rsidRPr="00F12F3E">
            <w:rPr>
              <w:b/>
              <w:sz w:val="14"/>
              <w:szCs w:val="14"/>
            </w:rPr>
            <w:t>:</w:t>
          </w:r>
        </w:p>
      </w:tc>
      <w:tc>
        <w:tcPr>
          <w:tcW w:w="3118" w:type="dxa"/>
        </w:tcPr>
        <w:p w:rsidR="00F12F3E" w:rsidRPr="007A0085" w:rsidRDefault="00F12F3E" w:rsidP="003B329D">
          <w:pPr>
            <w:pStyle w:val="Zpat"/>
            <w:spacing w:after="40"/>
            <w:jc w:val="right"/>
            <w:rPr>
              <w:b/>
              <w:sz w:val="14"/>
              <w:szCs w:val="14"/>
              <w:lang w:val="fr-CH"/>
            </w:rPr>
          </w:pPr>
          <w:r w:rsidRPr="007A0085">
            <w:rPr>
              <w:b/>
              <w:sz w:val="14"/>
              <w:szCs w:val="14"/>
              <w:lang w:val="fr-CH"/>
            </w:rPr>
            <w:t>Document-No.:</w:t>
          </w:r>
        </w:p>
        <w:p w:rsidR="00F12F3E" w:rsidRPr="007A0085" w:rsidRDefault="00F12F3E" w:rsidP="003B329D">
          <w:pPr>
            <w:pStyle w:val="Zpat"/>
            <w:spacing w:after="40"/>
            <w:jc w:val="right"/>
            <w:rPr>
              <w:b/>
              <w:sz w:val="14"/>
              <w:szCs w:val="14"/>
              <w:lang w:val="fr-CH"/>
            </w:rPr>
          </w:pPr>
          <w:r w:rsidRPr="007A0085">
            <w:rPr>
              <w:b/>
              <w:sz w:val="14"/>
              <w:szCs w:val="14"/>
              <w:lang w:val="fr-CH"/>
            </w:rPr>
            <w:t>Doc:</w:t>
          </w:r>
        </w:p>
        <w:p w:rsidR="00F12F3E" w:rsidRPr="007A0085" w:rsidRDefault="00F12F3E" w:rsidP="003B329D">
          <w:pPr>
            <w:pStyle w:val="Zpat"/>
            <w:spacing w:after="40"/>
            <w:jc w:val="right"/>
            <w:rPr>
              <w:b/>
              <w:sz w:val="14"/>
              <w:szCs w:val="14"/>
              <w:lang w:val="fr-CH"/>
            </w:rPr>
          </w:pPr>
          <w:r w:rsidRPr="007A0085">
            <w:rPr>
              <w:b/>
              <w:sz w:val="14"/>
              <w:szCs w:val="14"/>
              <w:lang w:val="fr-CH"/>
            </w:rPr>
            <w:t>Lang :uageu. : Location:</w:t>
          </w:r>
        </w:p>
      </w:tc>
      <w:tc>
        <w:tcPr>
          <w:tcW w:w="641" w:type="dxa"/>
          <w:shd w:val="clear" w:color="auto" w:fill="auto"/>
          <w:vAlign w:val="center"/>
        </w:tcPr>
        <w:p w:rsidR="00F12F3E" w:rsidRPr="00F12F3E" w:rsidRDefault="00F12F3E" w:rsidP="003B329D">
          <w:pPr>
            <w:pStyle w:val="Zpat"/>
            <w:spacing w:after="40"/>
            <w:jc w:val="right"/>
            <w:rPr>
              <w:b/>
              <w:sz w:val="14"/>
              <w:szCs w:val="14"/>
            </w:rPr>
          </w:pPr>
          <w:r w:rsidRPr="00F12F3E">
            <w:rPr>
              <w:b/>
              <w:sz w:val="14"/>
              <w:szCs w:val="14"/>
            </w:rPr>
            <w:t>Index:</w:t>
          </w:r>
        </w:p>
      </w:tc>
    </w:tr>
    <w:tr w:rsidR="00F12F3E" w:rsidRPr="00F12F3E" w:rsidTr="00C37C6B">
      <w:trPr>
        <w:trHeight w:hRule="exact" w:val="227"/>
      </w:trPr>
      <w:tc>
        <w:tcPr>
          <w:tcW w:w="1419" w:type="dxa"/>
          <w:shd w:val="clear" w:color="auto" w:fill="auto"/>
          <w:vAlign w:val="center"/>
        </w:tcPr>
        <w:p w:rsidR="00F12F3E" w:rsidRPr="00F12F3E" w:rsidRDefault="00F12F3E" w:rsidP="003227CC">
          <w:pPr>
            <w:pStyle w:val="Zpat"/>
            <w:spacing w:after="40"/>
            <w:jc w:val="right"/>
            <w:rPr>
              <w:b/>
              <w:sz w:val="14"/>
              <w:szCs w:val="14"/>
              <w:lang w:val="fr-CH"/>
            </w:rPr>
          </w:pPr>
          <w:r w:rsidRPr="00F12F3E">
            <w:rPr>
              <w:b/>
              <w:sz w:val="14"/>
              <w:szCs w:val="14"/>
              <w:lang w:val="fr-CH"/>
            </w:rPr>
            <w:t>Reviewed:</w:t>
          </w:r>
        </w:p>
      </w:tc>
      <w:tc>
        <w:tcPr>
          <w:tcW w:w="1219" w:type="dxa"/>
          <w:shd w:val="clear" w:color="auto" w:fill="auto"/>
          <w:vAlign w:val="center"/>
        </w:tcPr>
        <w:p w:rsidR="00F12F3E" w:rsidRPr="00F12F3E" w:rsidRDefault="00647141" w:rsidP="001F4D97">
          <w:pPr>
            <w:pStyle w:val="Zpat"/>
            <w:spacing w:after="40"/>
            <w:jc w:val="center"/>
            <w:rPr>
              <w:i/>
              <w:sz w:val="14"/>
              <w:szCs w:val="14"/>
              <w:lang w:val="fr-CH"/>
            </w:rPr>
          </w:pPr>
          <w:r>
            <w:rPr>
              <w:i/>
              <w:sz w:val="14"/>
              <w:szCs w:val="14"/>
            </w:rPr>
            <w:t xml:space="preserve">KS, </w:t>
          </w:r>
          <w:r w:rsidR="00593C4E">
            <w:rPr>
              <w:i/>
              <w:sz w:val="14"/>
              <w:szCs w:val="14"/>
            </w:rPr>
            <w:t>DIB, LAC</w:t>
          </w:r>
        </w:p>
      </w:tc>
      <w:tc>
        <w:tcPr>
          <w:tcW w:w="830" w:type="dxa"/>
          <w:shd w:val="clear" w:color="auto" w:fill="auto"/>
          <w:vAlign w:val="center"/>
        </w:tcPr>
        <w:p w:rsidR="00F12F3E" w:rsidRPr="00F12F3E" w:rsidRDefault="00F12F3E" w:rsidP="003227CC">
          <w:pPr>
            <w:pStyle w:val="Zpat"/>
            <w:spacing w:after="40"/>
            <w:jc w:val="right"/>
            <w:rPr>
              <w:b/>
              <w:sz w:val="14"/>
              <w:szCs w:val="14"/>
              <w:lang w:val="fr-CH"/>
            </w:rPr>
          </w:pPr>
          <w:r w:rsidRPr="00F12F3E">
            <w:rPr>
              <w:b/>
              <w:sz w:val="14"/>
              <w:szCs w:val="14"/>
              <w:lang w:val="fr-CH"/>
            </w:rPr>
            <w:t>Date:</w:t>
          </w:r>
        </w:p>
      </w:tc>
      <w:tc>
        <w:tcPr>
          <w:tcW w:w="1211" w:type="dxa"/>
          <w:tcBorders>
            <w:right w:val="single" w:sz="4" w:space="0" w:color="auto"/>
          </w:tcBorders>
          <w:shd w:val="clear" w:color="auto" w:fill="auto"/>
          <w:vAlign w:val="center"/>
        </w:tcPr>
        <w:p w:rsidR="00F12F3E" w:rsidRPr="00F12F3E" w:rsidRDefault="00D06DFE" w:rsidP="001F4D97">
          <w:pPr>
            <w:pStyle w:val="Zpat"/>
            <w:spacing w:after="40"/>
            <w:jc w:val="center"/>
            <w:rPr>
              <w:i/>
              <w:sz w:val="14"/>
              <w:szCs w:val="14"/>
              <w:lang w:val="fr-CH"/>
            </w:rPr>
          </w:pPr>
          <w:r>
            <w:rPr>
              <w:i/>
              <w:sz w:val="14"/>
              <w:szCs w:val="14"/>
              <w:lang w:val="fr-CH"/>
            </w:rPr>
            <w:t>19.10.2018</w:t>
          </w:r>
        </w:p>
      </w:tc>
      <w:sdt>
        <w:sdtPr>
          <w:rPr>
            <w:sz w:val="14"/>
            <w:szCs w:val="14"/>
            <w:lang w:val="fr-CH"/>
          </w:rPr>
          <w:id w:val="532548466"/>
          <w:dropDownList>
            <w:listItem w:displayText="Select a location" w:value="Select a location"/>
            <w:listItem w:displayText="APAG Global (AGL)" w:value="APAG Global (AGL)"/>
            <w:listItem w:displayText="APAG Switzerland (ACH)" w:value="APAG Switzerland (ACH)"/>
            <w:listItem w:displayText="APAG Czech Republic (ACZ)" w:value="APAG Czech Republic (ACZ)"/>
          </w:dropDownList>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12F3E" w:rsidRPr="007A0085" w:rsidRDefault="00647141" w:rsidP="003227CC">
              <w:pPr>
                <w:pStyle w:val="Zpat"/>
                <w:spacing w:after="40"/>
                <w:jc w:val="right"/>
                <w:rPr>
                  <w:sz w:val="14"/>
                  <w:szCs w:val="14"/>
                  <w:lang w:val="de-CH"/>
                </w:rPr>
              </w:pPr>
              <w:r>
                <w:rPr>
                  <w:sz w:val="14"/>
                  <w:szCs w:val="14"/>
                  <w:lang w:val="fr-CH"/>
                </w:rPr>
                <w:t>APAG Global (AGL)</w:t>
              </w:r>
            </w:p>
          </w:tc>
        </w:sdtContent>
      </w:sdt>
      <w:tc>
        <w:tcPr>
          <w:tcW w:w="3118" w:type="dxa"/>
          <w:vMerge w:val="restart"/>
          <w:tcBorders>
            <w:left w:val="single" w:sz="4" w:space="0" w:color="auto"/>
          </w:tcBorders>
        </w:tcPr>
        <w:p w:rsidR="00F12F3E" w:rsidRPr="007A0085" w:rsidRDefault="00593C4E" w:rsidP="00325F8D">
          <w:pPr>
            <w:pStyle w:val="Zpat"/>
            <w:spacing w:after="40"/>
            <w:jc w:val="center"/>
            <w:rPr>
              <w:b/>
              <w:sz w:val="36"/>
              <w:szCs w:val="36"/>
              <w:lang w:val="de-CH"/>
            </w:rPr>
          </w:pPr>
          <w:r>
            <w:rPr>
              <w:b/>
              <w:sz w:val="36"/>
              <w:szCs w:val="36"/>
              <w:lang w:val="de-CH"/>
            </w:rPr>
            <w:t>D</w:t>
          </w:r>
          <w:r w:rsidR="00647141">
            <w:rPr>
              <w:b/>
              <w:sz w:val="36"/>
              <w:szCs w:val="36"/>
              <w:lang w:val="de-CH"/>
            </w:rPr>
            <w:t>-SP00</w:t>
          </w:r>
          <w:r w:rsidR="00FB5A22">
            <w:rPr>
              <w:b/>
              <w:sz w:val="36"/>
              <w:szCs w:val="36"/>
              <w:lang w:val="de-CH"/>
            </w:rPr>
            <w:t>2-AGL</w:t>
          </w:r>
        </w:p>
      </w:tc>
      <w:tc>
        <w:tcPr>
          <w:tcW w:w="641" w:type="dxa"/>
          <w:vMerge w:val="restart"/>
          <w:shd w:val="clear" w:color="auto" w:fill="auto"/>
          <w:vAlign w:val="center"/>
        </w:tcPr>
        <w:p w:rsidR="00F12F3E" w:rsidRPr="007A0085" w:rsidRDefault="00593C4E" w:rsidP="002F558F">
          <w:pPr>
            <w:pStyle w:val="Zpat"/>
            <w:spacing w:after="40"/>
            <w:jc w:val="center"/>
            <w:rPr>
              <w:b/>
              <w:sz w:val="36"/>
              <w:szCs w:val="36"/>
              <w:lang w:val="de-CH"/>
            </w:rPr>
          </w:pPr>
          <w:r>
            <w:rPr>
              <w:b/>
              <w:sz w:val="36"/>
              <w:szCs w:val="36"/>
              <w:lang w:val="de-CH"/>
            </w:rPr>
            <w:t>B</w:t>
          </w:r>
        </w:p>
      </w:tc>
    </w:tr>
    <w:tr w:rsidR="00F12F3E" w:rsidRPr="00F12F3E" w:rsidTr="00C37C6B">
      <w:trPr>
        <w:trHeight w:hRule="exact" w:val="227"/>
      </w:trPr>
      <w:tc>
        <w:tcPr>
          <w:tcW w:w="1419" w:type="dxa"/>
          <w:shd w:val="clear" w:color="auto" w:fill="auto"/>
          <w:vAlign w:val="center"/>
        </w:tcPr>
        <w:p w:rsidR="00F12F3E" w:rsidRPr="00F12F3E" w:rsidRDefault="00F12F3E" w:rsidP="003227CC">
          <w:pPr>
            <w:pStyle w:val="Zpat"/>
            <w:spacing w:after="40"/>
            <w:jc w:val="right"/>
            <w:rPr>
              <w:b/>
              <w:sz w:val="14"/>
              <w:szCs w:val="14"/>
              <w:lang w:val="fr-CH"/>
            </w:rPr>
          </w:pPr>
          <w:r w:rsidRPr="00F12F3E">
            <w:rPr>
              <w:b/>
              <w:sz w:val="14"/>
              <w:szCs w:val="14"/>
              <w:lang w:val="fr-CH"/>
            </w:rPr>
            <w:t>Released:</w:t>
          </w:r>
        </w:p>
      </w:tc>
      <w:tc>
        <w:tcPr>
          <w:tcW w:w="1219" w:type="dxa"/>
          <w:shd w:val="clear" w:color="auto" w:fill="auto"/>
          <w:vAlign w:val="center"/>
        </w:tcPr>
        <w:p w:rsidR="00F12F3E" w:rsidRPr="00F12F3E" w:rsidRDefault="00593C4E" w:rsidP="001F4D97">
          <w:pPr>
            <w:pStyle w:val="Zpat"/>
            <w:spacing w:after="40"/>
            <w:jc w:val="center"/>
            <w:rPr>
              <w:i/>
              <w:sz w:val="14"/>
              <w:szCs w:val="14"/>
              <w:lang w:val="fr-CH"/>
            </w:rPr>
          </w:pPr>
          <w:r>
            <w:rPr>
              <w:i/>
              <w:sz w:val="14"/>
              <w:szCs w:val="14"/>
            </w:rPr>
            <w:t>STU</w:t>
          </w:r>
        </w:p>
      </w:tc>
      <w:tc>
        <w:tcPr>
          <w:tcW w:w="830" w:type="dxa"/>
          <w:shd w:val="clear" w:color="auto" w:fill="auto"/>
          <w:vAlign w:val="center"/>
        </w:tcPr>
        <w:p w:rsidR="00F12F3E" w:rsidRPr="00F12F3E" w:rsidRDefault="00F12F3E" w:rsidP="003227CC">
          <w:pPr>
            <w:pStyle w:val="Zpat"/>
            <w:spacing w:after="40"/>
            <w:jc w:val="right"/>
            <w:rPr>
              <w:b/>
              <w:sz w:val="14"/>
              <w:szCs w:val="14"/>
              <w:lang w:val="fr-CH"/>
            </w:rPr>
          </w:pPr>
          <w:r w:rsidRPr="00F12F3E">
            <w:rPr>
              <w:b/>
              <w:sz w:val="14"/>
              <w:szCs w:val="14"/>
              <w:lang w:val="fr-CH"/>
            </w:rPr>
            <w:t>Date:</w:t>
          </w:r>
        </w:p>
      </w:tc>
      <w:tc>
        <w:tcPr>
          <w:tcW w:w="1211" w:type="dxa"/>
          <w:tcBorders>
            <w:right w:val="single" w:sz="4" w:space="0" w:color="auto"/>
          </w:tcBorders>
          <w:shd w:val="clear" w:color="auto" w:fill="auto"/>
          <w:vAlign w:val="center"/>
        </w:tcPr>
        <w:p w:rsidR="00F12F3E" w:rsidRPr="00F12F3E" w:rsidRDefault="00AF122F" w:rsidP="001F4D97">
          <w:pPr>
            <w:pStyle w:val="Zpat"/>
            <w:spacing w:after="40"/>
            <w:jc w:val="center"/>
            <w:rPr>
              <w:i/>
              <w:sz w:val="14"/>
              <w:szCs w:val="14"/>
              <w:lang w:val="fr-CH"/>
            </w:rPr>
          </w:pPr>
          <w:r>
            <w:rPr>
              <w:i/>
              <w:sz w:val="14"/>
              <w:szCs w:val="14"/>
              <w:lang w:val="fr-CH"/>
            </w:rPr>
            <w:t>24.10.2018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12F3E" w:rsidRPr="00F12F3E" w:rsidRDefault="00F12F3E" w:rsidP="003227CC">
          <w:pPr>
            <w:pStyle w:val="Zpat"/>
            <w:spacing w:after="40"/>
            <w:jc w:val="right"/>
            <w:rPr>
              <w:sz w:val="14"/>
              <w:szCs w:val="14"/>
              <w:lang w:val="fr-CH"/>
            </w:rPr>
          </w:pPr>
        </w:p>
      </w:tc>
      <w:tc>
        <w:tcPr>
          <w:tcW w:w="3118" w:type="dxa"/>
          <w:vMerge/>
          <w:tcBorders>
            <w:left w:val="single" w:sz="4" w:space="0" w:color="auto"/>
          </w:tcBorders>
        </w:tcPr>
        <w:p w:rsidR="00F12F3E" w:rsidRPr="00F12F3E" w:rsidRDefault="00F12F3E" w:rsidP="00666340">
          <w:pPr>
            <w:pStyle w:val="Zpat"/>
            <w:spacing w:after="40"/>
            <w:jc w:val="right"/>
            <w:rPr>
              <w:b/>
              <w:sz w:val="16"/>
              <w:szCs w:val="16"/>
              <w:lang w:val="fr-CH"/>
            </w:rPr>
          </w:pPr>
        </w:p>
      </w:tc>
      <w:tc>
        <w:tcPr>
          <w:tcW w:w="641" w:type="dxa"/>
          <w:vMerge/>
          <w:shd w:val="clear" w:color="auto" w:fill="auto"/>
          <w:vAlign w:val="center"/>
        </w:tcPr>
        <w:p w:rsidR="00F12F3E" w:rsidRPr="00F12F3E" w:rsidRDefault="00F12F3E" w:rsidP="002F558F">
          <w:pPr>
            <w:pStyle w:val="Zpat"/>
            <w:spacing w:after="40"/>
            <w:jc w:val="center"/>
            <w:rPr>
              <w:b/>
              <w:sz w:val="16"/>
              <w:szCs w:val="16"/>
              <w:lang w:val="fr-CH"/>
            </w:rPr>
          </w:pPr>
        </w:p>
      </w:tc>
    </w:tr>
  </w:tbl>
  <w:p w:rsidR="00325F8D" w:rsidRPr="00325F8D" w:rsidRDefault="00BD3AD2" w:rsidP="00666340">
    <w:pPr>
      <w:pStyle w:val="Zpat"/>
      <w:spacing w:before="60"/>
      <w:jc w:val="right"/>
      <w:rPr>
        <w:lang w:val="fr-CH"/>
      </w:rPr>
    </w:pPr>
    <w:r>
      <w:rPr>
        <w:sz w:val="16"/>
        <w:szCs w:val="16"/>
        <w:lang w:val="fr-CH"/>
      </w:rPr>
      <w:t>Page</w:t>
    </w:r>
    <w:r w:rsidR="00325F8D" w:rsidRPr="00F12F3E">
      <w:rPr>
        <w:sz w:val="16"/>
        <w:szCs w:val="16"/>
        <w:lang w:val="fr-CH"/>
      </w:rPr>
      <w:t xml:space="preserve"> </w:t>
    </w:r>
    <w:r w:rsidR="00325F8D" w:rsidRPr="00F12F3E">
      <w:rPr>
        <w:sz w:val="16"/>
        <w:szCs w:val="16"/>
      </w:rPr>
      <w:fldChar w:fldCharType="begin"/>
    </w:r>
    <w:r w:rsidR="00325F8D" w:rsidRPr="00F12F3E">
      <w:rPr>
        <w:sz w:val="16"/>
        <w:szCs w:val="16"/>
        <w:lang w:val="fr-CH"/>
      </w:rPr>
      <w:instrText xml:space="preserve"> PAGE  \* MERGEFORMAT </w:instrText>
    </w:r>
    <w:r w:rsidR="00325F8D" w:rsidRPr="00F12F3E">
      <w:rPr>
        <w:sz w:val="16"/>
        <w:szCs w:val="16"/>
      </w:rPr>
      <w:fldChar w:fldCharType="separate"/>
    </w:r>
    <w:r w:rsidR="00593C4E">
      <w:rPr>
        <w:noProof/>
        <w:sz w:val="16"/>
        <w:szCs w:val="16"/>
        <w:lang w:val="fr-CH"/>
      </w:rPr>
      <w:t>1</w:t>
    </w:r>
    <w:r w:rsidR="00325F8D" w:rsidRPr="00F12F3E">
      <w:rPr>
        <w:sz w:val="16"/>
        <w:szCs w:val="16"/>
      </w:rPr>
      <w:fldChar w:fldCharType="end"/>
    </w:r>
    <w:r>
      <w:rPr>
        <w:sz w:val="16"/>
        <w:szCs w:val="16"/>
        <w:lang w:val="fr-CH"/>
      </w:rPr>
      <w:t xml:space="preserve"> of</w:t>
    </w:r>
    <w:r w:rsidR="00325F8D" w:rsidRPr="00F12F3E">
      <w:rPr>
        <w:sz w:val="16"/>
        <w:szCs w:val="16"/>
        <w:lang w:val="fr-CH"/>
      </w:rPr>
      <w:t xml:space="preserve"> </w:t>
    </w:r>
    <w:r w:rsidR="00325F8D" w:rsidRPr="002F7F53">
      <w:rPr>
        <w:sz w:val="16"/>
        <w:szCs w:val="16"/>
      </w:rPr>
      <w:fldChar w:fldCharType="begin"/>
    </w:r>
    <w:r w:rsidR="00325F8D" w:rsidRPr="00325F8D">
      <w:rPr>
        <w:sz w:val="16"/>
        <w:szCs w:val="16"/>
        <w:lang w:val="fr-CH"/>
      </w:rPr>
      <w:instrText xml:space="preserve"> NUMPAGES  \* MERGEFORMAT </w:instrText>
    </w:r>
    <w:r w:rsidR="00325F8D" w:rsidRPr="002F7F53">
      <w:rPr>
        <w:sz w:val="16"/>
        <w:szCs w:val="16"/>
      </w:rPr>
      <w:fldChar w:fldCharType="separate"/>
    </w:r>
    <w:r w:rsidR="00593C4E">
      <w:rPr>
        <w:noProof/>
        <w:sz w:val="16"/>
        <w:szCs w:val="16"/>
        <w:lang w:val="fr-CH"/>
      </w:rPr>
      <w:t>6</w:t>
    </w:r>
    <w:r w:rsidR="00325F8D" w:rsidRPr="002F7F5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5B4" w:rsidRDefault="00E855B4">
      <w:r>
        <w:separator/>
      </w:r>
    </w:p>
  </w:footnote>
  <w:footnote w:type="continuationSeparator" w:id="0">
    <w:p w:rsidR="00E855B4" w:rsidRDefault="00E8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355" w:type="dxa"/>
      <w:tblLayout w:type="fixed"/>
      <w:tblCellMar>
        <w:left w:w="71" w:type="dxa"/>
        <w:right w:w="71" w:type="dxa"/>
      </w:tblCellMar>
      <w:tblLook w:val="0000" w:firstRow="0" w:lastRow="0" w:firstColumn="0" w:lastColumn="0" w:noHBand="0" w:noVBand="0"/>
    </w:tblPr>
    <w:tblGrid>
      <w:gridCol w:w="4395"/>
      <w:gridCol w:w="5954"/>
    </w:tblGrid>
    <w:tr w:rsidR="00325F8D" w:rsidTr="000B332F">
      <w:trPr>
        <w:cantSplit/>
        <w:trHeight w:hRule="exact" w:val="428"/>
      </w:trPr>
      <w:tc>
        <w:tcPr>
          <w:tcW w:w="4395" w:type="dxa"/>
        </w:tcPr>
        <w:p w:rsidR="00325F8D" w:rsidRDefault="00593C4E" w:rsidP="00593C4E">
          <w:pPr>
            <w:pStyle w:val="Zhlav"/>
            <w:tabs>
              <w:tab w:val="left" w:pos="189"/>
            </w:tabs>
            <w:spacing w:after="40"/>
            <w:ind w:left="-57" w:right="57"/>
            <w:rPr>
              <w:sz w:val="26"/>
            </w:rPr>
          </w:pPr>
          <w:r>
            <w:rPr>
              <w:sz w:val="26"/>
            </w:rPr>
            <w:tab/>
          </w:r>
          <w:r>
            <w:rPr>
              <w:noProof/>
              <w:sz w:val="26"/>
            </w:rPr>
            <w:drawing>
              <wp:anchor distT="0" distB="0" distL="114300" distR="114300" simplePos="0" relativeHeight="251658240" behindDoc="0" locked="0" layoutInCell="1" allowOverlap="1">
                <wp:simplePos x="0" y="0"/>
                <wp:positionH relativeFrom="column">
                  <wp:posOffset>121285</wp:posOffset>
                </wp:positionH>
                <wp:positionV relativeFrom="paragraph">
                  <wp:posOffset>0</wp:posOffset>
                </wp:positionV>
                <wp:extent cx="806450" cy="456565"/>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ag.png"/>
                        <pic:cNvPicPr/>
                      </pic:nvPicPr>
                      <pic:blipFill>
                        <a:blip r:embed="rId1">
                          <a:extLst>
                            <a:ext uri="{28A0092B-C50C-407E-A947-70E740481C1C}">
                              <a14:useLocalDpi xmlns:a14="http://schemas.microsoft.com/office/drawing/2010/main" val="0"/>
                            </a:ext>
                          </a:extLst>
                        </a:blip>
                        <a:stretch>
                          <a:fillRect/>
                        </a:stretch>
                      </pic:blipFill>
                      <pic:spPr>
                        <a:xfrm>
                          <a:off x="0" y="0"/>
                          <a:ext cx="806450" cy="456565"/>
                        </a:xfrm>
                        <a:prstGeom prst="rect">
                          <a:avLst/>
                        </a:prstGeom>
                      </pic:spPr>
                    </pic:pic>
                  </a:graphicData>
                </a:graphic>
              </wp:anchor>
            </w:drawing>
          </w: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Default="00593C4E" w:rsidP="00593C4E">
          <w:pPr>
            <w:pStyle w:val="Zhlav"/>
            <w:tabs>
              <w:tab w:val="left" w:pos="189"/>
            </w:tabs>
            <w:spacing w:after="40"/>
            <w:ind w:left="-57" w:right="57"/>
            <w:rPr>
              <w:sz w:val="26"/>
            </w:rPr>
          </w:pPr>
        </w:p>
        <w:p w:rsidR="00593C4E" w:rsidRPr="007E6198" w:rsidRDefault="00593C4E" w:rsidP="00593C4E">
          <w:pPr>
            <w:pStyle w:val="Zhlav"/>
            <w:tabs>
              <w:tab w:val="left" w:pos="189"/>
            </w:tabs>
            <w:spacing w:after="40"/>
            <w:ind w:right="57"/>
            <w:rPr>
              <w:sz w:val="26"/>
            </w:rPr>
          </w:pPr>
        </w:p>
      </w:tc>
      <w:tc>
        <w:tcPr>
          <w:tcW w:w="5954" w:type="dxa"/>
        </w:tcPr>
        <w:p w:rsidR="00325F8D" w:rsidRDefault="00593C4E" w:rsidP="00155D2B">
          <w:pPr>
            <w:pStyle w:val="Zhlav"/>
            <w:spacing w:after="40"/>
            <w:ind w:right="57"/>
            <w:jc w:val="right"/>
            <w:rPr>
              <w:szCs w:val="22"/>
            </w:rPr>
          </w:pPr>
          <w:r>
            <w:rPr>
              <w:szCs w:val="22"/>
            </w:rPr>
            <w:t>Definition</w:t>
          </w:r>
        </w:p>
        <w:p w:rsidR="00325F8D" w:rsidRPr="00155D2B" w:rsidRDefault="00325F8D" w:rsidP="00155D2B">
          <w:pPr>
            <w:pStyle w:val="Zhlav"/>
            <w:spacing w:after="40"/>
            <w:ind w:right="57"/>
            <w:jc w:val="right"/>
            <w:rPr>
              <w:szCs w:val="22"/>
            </w:rPr>
          </w:pPr>
        </w:p>
      </w:tc>
    </w:tr>
    <w:tr w:rsidR="00325F8D" w:rsidRPr="00DF50F4" w:rsidTr="000B332F">
      <w:trPr>
        <w:cantSplit/>
        <w:trHeight w:val="420"/>
      </w:trPr>
      <w:tc>
        <w:tcPr>
          <w:tcW w:w="4395" w:type="dxa"/>
          <w:tcBorders>
            <w:bottom w:val="single" w:sz="6" w:space="0" w:color="auto"/>
          </w:tcBorders>
          <w:vAlign w:val="bottom"/>
        </w:tcPr>
        <w:p w:rsidR="00325F8D" w:rsidRPr="002F7F53" w:rsidRDefault="00325F8D" w:rsidP="00666340">
          <w:pPr>
            <w:pStyle w:val="Zhlav"/>
            <w:spacing w:after="40"/>
            <w:ind w:right="57"/>
            <w:jc w:val="left"/>
            <w:rPr>
              <w:sz w:val="16"/>
              <w:szCs w:val="16"/>
            </w:rPr>
          </w:pPr>
        </w:p>
      </w:tc>
      <w:tc>
        <w:tcPr>
          <w:tcW w:w="5954" w:type="dxa"/>
          <w:tcBorders>
            <w:bottom w:val="single" w:sz="6" w:space="0" w:color="auto"/>
          </w:tcBorders>
        </w:tcPr>
        <w:p w:rsidR="00325F8D" w:rsidRPr="00DF50F4" w:rsidRDefault="000B332F" w:rsidP="00155D2B">
          <w:pPr>
            <w:pStyle w:val="Zhlav"/>
            <w:spacing w:after="40"/>
            <w:ind w:right="57"/>
            <w:jc w:val="right"/>
            <w:rPr>
              <w:b/>
              <w:sz w:val="32"/>
              <w:szCs w:val="32"/>
              <w:lang w:val="en-US"/>
            </w:rPr>
          </w:pPr>
          <w:r w:rsidRPr="00DF50F4">
            <w:rPr>
              <w:b/>
              <w:sz w:val="32"/>
              <w:szCs w:val="32"/>
              <w:lang w:val="en-US"/>
            </w:rPr>
            <w:t>General Buying Terms APAG Group</w:t>
          </w:r>
        </w:p>
      </w:tc>
    </w:tr>
  </w:tbl>
  <w:p w:rsidR="00325F8D" w:rsidRPr="00DF50F4" w:rsidRDefault="00325F8D" w:rsidP="005B2D45">
    <w:pPr>
      <w:pStyle w:val="Zhlav"/>
      <w:ind w:left="-142"/>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55020"/>
    <w:multiLevelType w:val="hybridMultilevel"/>
    <w:tmpl w:val="3B72DF08"/>
    <w:lvl w:ilvl="0" w:tplc="08070001">
      <w:start w:val="1"/>
      <w:numFmt w:val="bullet"/>
      <w:lvlText w:val=""/>
      <w:lvlJc w:val="left"/>
      <w:pPr>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1" w15:restartNumberingAfterBreak="0">
    <w:nsid w:val="5ED60B40"/>
    <w:multiLevelType w:val="hybridMultilevel"/>
    <w:tmpl w:val="96DAB276"/>
    <w:lvl w:ilvl="0" w:tplc="FF2A9E70">
      <w:start w:val="5"/>
      <w:numFmt w:val="bullet"/>
      <w:lvlText w:val="-"/>
      <w:lvlJc w:val="left"/>
      <w:pPr>
        <w:ind w:left="1494" w:hanging="360"/>
      </w:pPr>
      <w:rPr>
        <w:rFonts w:ascii="Arial" w:eastAsia="Times New Roman" w:hAnsi="Aria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2" w15:restartNumberingAfterBreak="0">
    <w:nsid w:val="64A266CE"/>
    <w:multiLevelType w:val="hybridMultilevel"/>
    <w:tmpl w:val="5796694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54F4E83"/>
    <w:multiLevelType w:val="hybridMultilevel"/>
    <w:tmpl w:val="7C067B9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75F7A02"/>
    <w:multiLevelType w:val="multilevel"/>
    <w:tmpl w:val="EF78839C"/>
    <w:lvl w:ilvl="0">
      <w:start w:val="1"/>
      <w:numFmt w:val="decimal"/>
      <w:lvlText w:val="%1."/>
      <w:lvlJc w:val="left"/>
      <w:pPr>
        <w:ind w:left="720" w:hanging="360"/>
      </w:pPr>
      <w:rPr>
        <w:rFonts w:hint="default"/>
      </w:rPr>
    </w:lvl>
    <w:lvl w:ilvl="1">
      <w:start w:val="2"/>
      <w:numFmt w:val="decimal"/>
      <w:isLgl/>
      <w:lvlText w:val="%1.%2."/>
      <w:lvlJc w:val="left"/>
      <w:pPr>
        <w:ind w:left="978" w:hanging="570"/>
      </w:pPr>
      <w:rPr>
        <w:rFonts w:hint="default"/>
      </w:rPr>
    </w:lvl>
    <w:lvl w:ilvl="2">
      <w:start w:val="1"/>
      <w:numFmt w:val="decimal"/>
      <w:isLgl/>
      <w:lvlText w:val="%1.%2.%3."/>
      <w:lvlJc w:val="left"/>
      <w:pPr>
        <w:ind w:left="1176"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544" w:hanging="1800"/>
      </w:pPr>
      <w:rPr>
        <w:rFonts w:hint="default"/>
      </w:rPr>
    </w:lvl>
  </w:abstractNum>
  <w:abstractNum w:abstractNumId="5" w15:restartNumberingAfterBreak="0">
    <w:nsid w:val="707B6541"/>
    <w:multiLevelType w:val="hybridMultilevel"/>
    <w:tmpl w:val="00FC37E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f" stroke="f">
      <v:fill on="f"/>
      <v:stroke startarrowwidth="narrow" startarrowlength="short" endarrowwidth="narrow" endarrowlength="shor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2F"/>
    <w:rsid w:val="00035C57"/>
    <w:rsid w:val="00073220"/>
    <w:rsid w:val="00093D68"/>
    <w:rsid w:val="000B332F"/>
    <w:rsid w:val="000E0165"/>
    <w:rsid w:val="001127E0"/>
    <w:rsid w:val="001179D4"/>
    <w:rsid w:val="00140F34"/>
    <w:rsid w:val="00145EE2"/>
    <w:rsid w:val="001472E3"/>
    <w:rsid w:val="00152FD5"/>
    <w:rsid w:val="00155D2B"/>
    <w:rsid w:val="00172F73"/>
    <w:rsid w:val="00175D7B"/>
    <w:rsid w:val="00196C81"/>
    <w:rsid w:val="001D1C79"/>
    <w:rsid w:val="001D4C4E"/>
    <w:rsid w:val="001E1888"/>
    <w:rsid w:val="001F32F2"/>
    <w:rsid w:val="001F4D97"/>
    <w:rsid w:val="00230464"/>
    <w:rsid w:val="00245850"/>
    <w:rsid w:val="0025787A"/>
    <w:rsid w:val="00271442"/>
    <w:rsid w:val="00273C6A"/>
    <w:rsid w:val="002A0772"/>
    <w:rsid w:val="002F558F"/>
    <w:rsid w:val="002F7F53"/>
    <w:rsid w:val="00311AB5"/>
    <w:rsid w:val="003227CC"/>
    <w:rsid w:val="00325F8D"/>
    <w:rsid w:val="0033535F"/>
    <w:rsid w:val="00343E67"/>
    <w:rsid w:val="00354160"/>
    <w:rsid w:val="00357849"/>
    <w:rsid w:val="003A4031"/>
    <w:rsid w:val="003B05B5"/>
    <w:rsid w:val="003B329D"/>
    <w:rsid w:val="003D4257"/>
    <w:rsid w:val="003D4566"/>
    <w:rsid w:val="003F19F8"/>
    <w:rsid w:val="00407DD4"/>
    <w:rsid w:val="0043668C"/>
    <w:rsid w:val="004478EC"/>
    <w:rsid w:val="004675E0"/>
    <w:rsid w:val="0047097A"/>
    <w:rsid w:val="004A51DA"/>
    <w:rsid w:val="004D0DC1"/>
    <w:rsid w:val="004E4654"/>
    <w:rsid w:val="00505828"/>
    <w:rsid w:val="005143CA"/>
    <w:rsid w:val="00514F36"/>
    <w:rsid w:val="00553BCC"/>
    <w:rsid w:val="00556FBD"/>
    <w:rsid w:val="005641FC"/>
    <w:rsid w:val="00580362"/>
    <w:rsid w:val="00593C4E"/>
    <w:rsid w:val="005B2D45"/>
    <w:rsid w:val="005D37CC"/>
    <w:rsid w:val="00631283"/>
    <w:rsid w:val="00647141"/>
    <w:rsid w:val="00656A72"/>
    <w:rsid w:val="00665B62"/>
    <w:rsid w:val="00666340"/>
    <w:rsid w:val="00690316"/>
    <w:rsid w:val="00692B2B"/>
    <w:rsid w:val="006A442D"/>
    <w:rsid w:val="006C328D"/>
    <w:rsid w:val="006E4C19"/>
    <w:rsid w:val="00724AB8"/>
    <w:rsid w:val="0072755B"/>
    <w:rsid w:val="007277A5"/>
    <w:rsid w:val="00755B97"/>
    <w:rsid w:val="007637F4"/>
    <w:rsid w:val="007661F6"/>
    <w:rsid w:val="007A0085"/>
    <w:rsid w:val="007A5803"/>
    <w:rsid w:val="007B1E00"/>
    <w:rsid w:val="007B2B87"/>
    <w:rsid w:val="007B58BC"/>
    <w:rsid w:val="007B734C"/>
    <w:rsid w:val="007D385F"/>
    <w:rsid w:val="007E6198"/>
    <w:rsid w:val="007F1795"/>
    <w:rsid w:val="007F6CF7"/>
    <w:rsid w:val="0081152B"/>
    <w:rsid w:val="00817FED"/>
    <w:rsid w:val="00836D10"/>
    <w:rsid w:val="0084477E"/>
    <w:rsid w:val="00851282"/>
    <w:rsid w:val="008722C6"/>
    <w:rsid w:val="008B2A81"/>
    <w:rsid w:val="008D4286"/>
    <w:rsid w:val="008D56DC"/>
    <w:rsid w:val="008D5BAA"/>
    <w:rsid w:val="0091713D"/>
    <w:rsid w:val="009304A7"/>
    <w:rsid w:val="009645CE"/>
    <w:rsid w:val="00965D7B"/>
    <w:rsid w:val="0097767C"/>
    <w:rsid w:val="009B098D"/>
    <w:rsid w:val="009B33BC"/>
    <w:rsid w:val="009D17C2"/>
    <w:rsid w:val="00A01AF0"/>
    <w:rsid w:val="00A02FA8"/>
    <w:rsid w:val="00A03B1A"/>
    <w:rsid w:val="00A0548F"/>
    <w:rsid w:val="00A14746"/>
    <w:rsid w:val="00A15906"/>
    <w:rsid w:val="00A23070"/>
    <w:rsid w:val="00A30801"/>
    <w:rsid w:val="00A50587"/>
    <w:rsid w:val="00A50A78"/>
    <w:rsid w:val="00A644CC"/>
    <w:rsid w:val="00A81271"/>
    <w:rsid w:val="00AC4F00"/>
    <w:rsid w:val="00AD77EB"/>
    <w:rsid w:val="00AE587D"/>
    <w:rsid w:val="00AF122F"/>
    <w:rsid w:val="00AF140D"/>
    <w:rsid w:val="00B13F7B"/>
    <w:rsid w:val="00B32B6C"/>
    <w:rsid w:val="00B346CB"/>
    <w:rsid w:val="00B56481"/>
    <w:rsid w:val="00BB02A5"/>
    <w:rsid w:val="00BB4E7E"/>
    <w:rsid w:val="00BD13F8"/>
    <w:rsid w:val="00BD3AD2"/>
    <w:rsid w:val="00BD667B"/>
    <w:rsid w:val="00BF719E"/>
    <w:rsid w:val="00C233D8"/>
    <w:rsid w:val="00C249F3"/>
    <w:rsid w:val="00C624DF"/>
    <w:rsid w:val="00C7166B"/>
    <w:rsid w:val="00C73E3F"/>
    <w:rsid w:val="00C86F00"/>
    <w:rsid w:val="00C87546"/>
    <w:rsid w:val="00CA5AC6"/>
    <w:rsid w:val="00CB4D03"/>
    <w:rsid w:val="00CC13C5"/>
    <w:rsid w:val="00CC6D8A"/>
    <w:rsid w:val="00CE6B91"/>
    <w:rsid w:val="00CF11B0"/>
    <w:rsid w:val="00CF68F0"/>
    <w:rsid w:val="00D059CB"/>
    <w:rsid w:val="00D06DFE"/>
    <w:rsid w:val="00D12350"/>
    <w:rsid w:val="00D21B10"/>
    <w:rsid w:val="00D41B02"/>
    <w:rsid w:val="00D42CA8"/>
    <w:rsid w:val="00D8341C"/>
    <w:rsid w:val="00D9627D"/>
    <w:rsid w:val="00DF50F4"/>
    <w:rsid w:val="00DF5E15"/>
    <w:rsid w:val="00E13662"/>
    <w:rsid w:val="00E27FD6"/>
    <w:rsid w:val="00E37C3C"/>
    <w:rsid w:val="00E573C6"/>
    <w:rsid w:val="00E71E5F"/>
    <w:rsid w:val="00E855B4"/>
    <w:rsid w:val="00E85606"/>
    <w:rsid w:val="00E85C43"/>
    <w:rsid w:val="00E947D6"/>
    <w:rsid w:val="00EA2005"/>
    <w:rsid w:val="00EA474B"/>
    <w:rsid w:val="00EA7110"/>
    <w:rsid w:val="00ED5BC8"/>
    <w:rsid w:val="00EE427B"/>
    <w:rsid w:val="00EE7ABF"/>
    <w:rsid w:val="00F12F3E"/>
    <w:rsid w:val="00F2083D"/>
    <w:rsid w:val="00F33D34"/>
    <w:rsid w:val="00F37D5C"/>
    <w:rsid w:val="00F436B3"/>
    <w:rsid w:val="00F44846"/>
    <w:rsid w:val="00F57EF1"/>
    <w:rsid w:val="00F819AF"/>
    <w:rsid w:val="00F84F86"/>
    <w:rsid w:val="00FA05D0"/>
    <w:rsid w:val="00FB0456"/>
    <w:rsid w:val="00FB5A22"/>
    <w:rsid w:val="00FC4237"/>
    <w:rsid w:val="00FD0379"/>
    <w:rsid w:val="00FD0CD8"/>
    <w:rsid w:val="00FD32C9"/>
    <w:rsid w:val="00FD3ACB"/>
    <w:rsid w:val="00FE41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stroke="f">
      <v:fill on="f"/>
      <v:stroke startarrowwidth="narrow" startarrowlength="short" endarrowwidth="narrow" endarrowlength="short" on="f"/>
      <v:textbox inset="0,0,0,0"/>
    </o:shapedefaults>
    <o:shapelayout v:ext="edit">
      <o:idmap v:ext="edit" data="1"/>
    </o:shapelayout>
  </w:shapeDefaults>
  <w:decimalSymbol w:val=","/>
  <w:listSeparator w:val=";"/>
  <w14:docId w14:val="35D12684"/>
  <w15:docId w15:val="{CB89E2CC-BF9A-4CCB-B357-CBC030DF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1442"/>
    <w:pPr>
      <w:jc w:val="both"/>
    </w:pPr>
    <w:rPr>
      <w:rFonts w:ascii="Arial" w:hAnsi="Arial"/>
      <w:sz w:val="22"/>
      <w:lang w:val="de-DE" w:eastAsia="de-DE"/>
    </w:rPr>
  </w:style>
  <w:style w:type="paragraph" w:styleId="Nadpis1">
    <w:name w:val="heading 1"/>
    <w:basedOn w:val="Normln"/>
    <w:next w:val="Normlnodsazen"/>
    <w:link w:val="Nadpis1Char"/>
    <w:uiPriority w:val="9"/>
    <w:qFormat/>
    <w:pPr>
      <w:pageBreakBefore/>
      <w:shd w:val="pct5" w:color="auto" w:fill="auto"/>
      <w:tabs>
        <w:tab w:val="left" w:pos="1134"/>
        <w:tab w:val="left" w:pos="6747"/>
      </w:tabs>
      <w:ind w:left="1134" w:right="57" w:hanging="1134"/>
      <w:jc w:val="left"/>
      <w:outlineLvl w:val="0"/>
    </w:pPr>
    <w:rPr>
      <w:b/>
    </w:rPr>
  </w:style>
  <w:style w:type="paragraph" w:styleId="Nadpis2">
    <w:name w:val="heading 2"/>
    <w:basedOn w:val="Normln"/>
    <w:next w:val="Normlnodsazen"/>
    <w:qFormat/>
    <w:pPr>
      <w:tabs>
        <w:tab w:val="left" w:pos="1134"/>
      </w:tabs>
      <w:spacing w:before="360" w:after="120"/>
      <w:ind w:left="1134" w:hanging="1134"/>
      <w:jc w:val="left"/>
      <w:outlineLvl w:val="1"/>
    </w:pPr>
    <w:rPr>
      <w:b/>
    </w:rPr>
  </w:style>
  <w:style w:type="paragraph" w:styleId="Nadpis3">
    <w:name w:val="heading 3"/>
    <w:basedOn w:val="Normln"/>
    <w:next w:val="Normlnodsazen"/>
    <w:qFormat/>
    <w:pPr>
      <w:tabs>
        <w:tab w:val="left" w:pos="1134"/>
      </w:tabs>
      <w:spacing w:after="240"/>
      <w:jc w:val="left"/>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1134"/>
    </w:pPr>
  </w:style>
  <w:style w:type="paragraph" w:styleId="Obsah2">
    <w:name w:val="toc 2"/>
    <w:basedOn w:val="Normln"/>
    <w:next w:val="Normln"/>
    <w:semiHidden/>
    <w:pPr>
      <w:tabs>
        <w:tab w:val="right" w:leader="dot" w:pos="9639"/>
      </w:tabs>
      <w:ind w:left="1418" w:hanging="851"/>
      <w:jc w:val="left"/>
    </w:pPr>
  </w:style>
  <w:style w:type="paragraph" w:styleId="Obsah1">
    <w:name w:val="toc 1"/>
    <w:basedOn w:val="Normln"/>
    <w:next w:val="Normln"/>
    <w:uiPriority w:val="39"/>
    <w:pPr>
      <w:tabs>
        <w:tab w:val="right" w:leader="dot" w:pos="9639"/>
      </w:tabs>
      <w:spacing w:before="240" w:after="120"/>
      <w:ind w:left="851" w:hanging="851"/>
      <w:jc w:val="left"/>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paragraph" w:customStyle="1" w:styleId="Titelwiederholung">
    <w:name w:val="Titelwiederholung"/>
    <w:basedOn w:val="KastenStandard"/>
    <w:next w:val="Normlnodsazen"/>
    <w:pPr>
      <w:pageBreakBefore/>
      <w:tabs>
        <w:tab w:val="left" w:pos="1134"/>
        <w:tab w:val="left" w:pos="6747"/>
      </w:tabs>
      <w:ind w:left="1134" w:hanging="1134"/>
      <w:jc w:val="left"/>
    </w:pPr>
    <w:rPr>
      <w:b/>
    </w:rPr>
  </w:style>
  <w:style w:type="paragraph" w:customStyle="1" w:styleId="KastenStandard">
    <w:name w:val="KastenStandard"/>
    <w:basedOn w:val="Normln"/>
    <w:next w:val="Normlnodsazen"/>
    <w:pPr>
      <w:shd w:val="pct5" w:color="auto" w:fill="auto"/>
      <w:ind w:left="57" w:right="57"/>
    </w:pPr>
  </w:style>
  <w:style w:type="paragraph" w:customStyle="1" w:styleId="KastenEingezogen">
    <w:name w:val="KastenEingezogen"/>
    <w:basedOn w:val="Normlnodsazen"/>
    <w:next w:val="Normlnodsazen"/>
    <w:pPr>
      <w:shd w:val="pct5" w:color="auto" w:fill="auto"/>
      <w:ind w:left="1191" w:right="57"/>
    </w:pPr>
  </w:style>
  <w:style w:type="character" w:styleId="Hypertextovodkaz">
    <w:name w:val="Hyperlink"/>
    <w:uiPriority w:val="99"/>
    <w:unhideWhenUsed/>
    <w:rsid w:val="00EA474B"/>
    <w:rPr>
      <w:color w:val="0000FF"/>
      <w:u w:val="single"/>
    </w:rPr>
  </w:style>
  <w:style w:type="table" w:styleId="Mkatabulky">
    <w:name w:val="Table Grid"/>
    <w:basedOn w:val="Normlntabulka"/>
    <w:rsid w:val="001D4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A03B1A"/>
    <w:rPr>
      <w:rFonts w:ascii="Tahoma" w:hAnsi="Tahoma" w:cs="Tahoma"/>
      <w:sz w:val="16"/>
      <w:szCs w:val="16"/>
    </w:rPr>
  </w:style>
  <w:style w:type="character" w:customStyle="1" w:styleId="TextbublinyChar">
    <w:name w:val="Text bubliny Char"/>
    <w:basedOn w:val="Standardnpsmoodstavce"/>
    <w:link w:val="Textbubliny"/>
    <w:rsid w:val="00A03B1A"/>
    <w:rPr>
      <w:rFonts w:ascii="Tahoma" w:hAnsi="Tahoma" w:cs="Tahoma"/>
      <w:sz w:val="16"/>
      <w:szCs w:val="16"/>
      <w:lang w:val="de-DE" w:eastAsia="de-DE"/>
    </w:rPr>
  </w:style>
  <w:style w:type="character" w:styleId="Zstupntext">
    <w:name w:val="Placeholder Text"/>
    <w:basedOn w:val="Standardnpsmoodstavce"/>
    <w:uiPriority w:val="99"/>
    <w:semiHidden/>
    <w:rsid w:val="007A0085"/>
    <w:rPr>
      <w:color w:val="808080"/>
    </w:rPr>
  </w:style>
  <w:style w:type="character" w:customStyle="1" w:styleId="Nadpis1Char">
    <w:name w:val="Nadpis 1 Char"/>
    <w:basedOn w:val="Standardnpsmoodstavce"/>
    <w:link w:val="Nadpis1"/>
    <w:uiPriority w:val="9"/>
    <w:rsid w:val="00271442"/>
    <w:rPr>
      <w:rFonts w:ascii="Arial" w:hAnsi="Arial"/>
      <w:b/>
      <w:sz w:val="22"/>
      <w:shd w:val="pct5" w:color="auto" w:fill="auto"/>
      <w:lang w:val="de-DE" w:eastAsia="de-DE"/>
    </w:rPr>
  </w:style>
  <w:style w:type="paragraph" w:styleId="Odstavecseseznamem">
    <w:name w:val="List Paragraph"/>
    <w:basedOn w:val="Normln"/>
    <w:uiPriority w:val="34"/>
    <w:qFormat/>
    <w:rsid w:val="00647141"/>
    <w:pPr>
      <w:ind w:left="720"/>
      <w:contextualSpacing/>
    </w:pPr>
  </w:style>
  <w:style w:type="paragraph" w:styleId="Nadpisobsahu">
    <w:name w:val="TOC Heading"/>
    <w:basedOn w:val="Nadpis1"/>
    <w:next w:val="Normln"/>
    <w:uiPriority w:val="39"/>
    <w:semiHidden/>
    <w:unhideWhenUsed/>
    <w:qFormat/>
    <w:rsid w:val="00FB5A22"/>
    <w:pPr>
      <w:keepNext/>
      <w:keepLines/>
      <w:pageBreakBefore w:val="0"/>
      <w:shd w:val="clear" w:color="auto" w:fill="auto"/>
      <w:tabs>
        <w:tab w:val="clear" w:pos="1134"/>
        <w:tab w:val="clear" w:pos="6747"/>
      </w:tabs>
      <w:spacing w:before="480" w:line="276" w:lineRule="auto"/>
      <w:ind w:left="0" w:right="0" w:firstLine="0"/>
      <w:outlineLvl w:val="9"/>
    </w:pPr>
    <w:rPr>
      <w:rFonts w:asciiTheme="majorHAnsi" w:eastAsiaTheme="majorEastAsia" w:hAnsiTheme="majorHAnsi" w:cstheme="majorBidi"/>
      <w:bCs/>
      <w:color w:val="365F91" w:themeColor="accent1" w:themeShade="BF"/>
      <w:sz w:val="28"/>
      <w:szCs w:val="28"/>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228975">
      <w:bodyDiv w:val="1"/>
      <w:marLeft w:val="0"/>
      <w:marRight w:val="0"/>
      <w:marTop w:val="0"/>
      <w:marBottom w:val="0"/>
      <w:divBdr>
        <w:top w:val="none" w:sz="0" w:space="0" w:color="auto"/>
        <w:left w:val="none" w:sz="0" w:space="0" w:color="auto"/>
        <w:bottom w:val="none" w:sz="0" w:space="0" w:color="auto"/>
        <w:right w:val="none" w:sz="0" w:space="0" w:color="auto"/>
      </w:divBdr>
      <w:divsChild>
        <w:div w:id="60446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F2A2-1B85-441F-AB28-A3F07540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3275</Words>
  <Characters>18275</Characters>
  <Application>Microsoft Office Word</Application>
  <DocSecurity>0</DocSecurity>
  <Lines>152</Lines>
  <Paragraphs>43</Paragraphs>
  <ScaleCrop>false</ScaleCrop>
  <HeadingPairs>
    <vt:vector size="6" baseType="variant">
      <vt:variant>
        <vt:lpstr>Název</vt:lpstr>
      </vt:variant>
      <vt:variant>
        <vt:i4>1</vt:i4>
      </vt:variant>
      <vt:variant>
        <vt:lpstr>Titel</vt:lpstr>
      </vt:variant>
      <vt:variant>
        <vt:i4>1</vt:i4>
      </vt:variant>
      <vt:variant>
        <vt:lpstr>Überschriften</vt:lpstr>
      </vt:variant>
      <vt:variant>
        <vt:i4>16</vt:i4>
      </vt:variant>
    </vt:vector>
  </HeadingPairs>
  <TitlesOfParts>
    <vt:vector size="18" baseType="lpstr">
      <vt:lpstr>Hinweise zum Erstellen von Prüffreundlichen Lay-Out</vt:lpstr>
      <vt:lpstr>Hinweise zum Erstellen von Prüffreundlichen Lay-Out</vt:lpstr>
      <vt:lpstr>General</vt:lpstr>
      <vt:lpstr>Offers from vendors / Contract termination </vt:lpstr>
      <vt:lpstr>Scope of delivery / Amendments in the scope of delivery.</vt:lpstr>
      <vt:lpstr>Price / Payment terms  </vt:lpstr>
      <vt:lpstr>Delivery deadline and term / delay</vt:lpstr>
      <vt:lpstr>Further delivery terms</vt:lpstr>
      <vt:lpstr>Confidentiality obligations / Trademark rights of APAG</vt:lpstr>
      <vt:lpstr>Third party intellectual property rights. </vt:lpstr>
      <vt:lpstr>Guarantee (liability for defects / faulty goods) / Quality </vt:lpstr>
      <vt:lpstr>Product liability</vt:lpstr>
      <vt:lpstr>Supplies </vt:lpstr>
      <vt:lpstr>Manufacturing equipment manufactured by the vendor (tools etc.) </vt:lpstr>
      <vt:lpstr>Long term inability to deliver / impending insolvency of the vendor  </vt:lpstr>
      <vt:lpstr>Salvatorious clause  </vt:lpstr>
      <vt:lpstr>Applicable law and jurisdiction</vt:lpstr>
      <vt:lpstr>Document History</vt:lpstr>
    </vt:vector>
  </TitlesOfParts>
  <Company>APAG Elektronik AG</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zum Erstellen von Prüffreundlichen Lay-Out</dc:title>
  <dc:creator>Patrick Sachse</dc:creator>
  <cp:lastModifiedBy>Stuchlíková Marcela</cp:lastModifiedBy>
  <cp:revision>3</cp:revision>
  <cp:lastPrinted>2013-03-25T12:47:00Z</cp:lastPrinted>
  <dcterms:created xsi:type="dcterms:W3CDTF">2018-10-24T07:59:00Z</dcterms:created>
  <dcterms:modified xsi:type="dcterms:W3CDTF">2018-10-24T08:00:00Z</dcterms:modified>
</cp:coreProperties>
</file>